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EA7DC" w14:textId="77777777" w:rsidR="00214122" w:rsidRPr="00CE6878" w:rsidRDefault="00214122" w:rsidP="00B12017">
      <w:pPr>
        <w:spacing w:after="0" w:line="240" w:lineRule="auto"/>
        <w:ind w:firstLine="709"/>
        <w:rPr>
          <w:rFonts w:ascii="Arial" w:hAnsi="Arial" w:cs="Arial"/>
          <w:b/>
          <w:color w:val="000000"/>
          <w:sz w:val="28"/>
          <w:szCs w:val="28"/>
        </w:rPr>
      </w:pPr>
    </w:p>
    <w:p w14:paraId="512A5A4B" w14:textId="77777777" w:rsidR="00214122" w:rsidRPr="00CE6878" w:rsidRDefault="00214122" w:rsidP="00A3744D">
      <w:pPr>
        <w:tabs>
          <w:tab w:val="left" w:pos="1455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b/>
          <w:color w:val="000000"/>
          <w:sz w:val="28"/>
          <w:szCs w:val="28"/>
          <w:lang w:val="en-US"/>
        </w:rPr>
        <w:t>Task 1</w:t>
      </w:r>
    </w:p>
    <w:p w14:paraId="60D6D200" w14:textId="77777777" w:rsidR="00214122" w:rsidRPr="005345C4" w:rsidRDefault="00214122" w:rsidP="00214122">
      <w:pPr>
        <w:tabs>
          <w:tab w:val="left" w:pos="1455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  <w:lang w:val="en-US"/>
        </w:rPr>
      </w:pPr>
      <w:r w:rsidRPr="005345C4">
        <w:rPr>
          <w:rFonts w:ascii="Arial" w:hAnsi="Arial" w:cs="Arial"/>
          <w:color w:val="000000"/>
          <w:sz w:val="26"/>
          <w:szCs w:val="26"/>
          <w:lang w:val="en-US"/>
        </w:rPr>
        <w:t>A randomized controlled trial was conducted to assess the risk of side effects from the gastrointestinal tract when using azithromycin compared with erythromycin in the treatment of pertussis in children.</w:t>
      </w:r>
      <w:r w:rsidR="00BE0B88" w:rsidRPr="005345C4">
        <w:rPr>
          <w:rFonts w:ascii="Arial" w:hAnsi="Arial" w:cs="Arial"/>
          <w:color w:val="000000"/>
          <w:sz w:val="26"/>
          <w:szCs w:val="26"/>
          <w:lang w:val="en-US"/>
        </w:rPr>
        <w:t xml:space="preserve"> </w:t>
      </w:r>
      <w:r w:rsidRPr="005345C4">
        <w:rPr>
          <w:rFonts w:ascii="Arial" w:hAnsi="Arial" w:cs="Arial"/>
          <w:color w:val="000000"/>
          <w:sz w:val="26"/>
          <w:szCs w:val="26"/>
          <w:lang w:val="en-US"/>
        </w:rPr>
        <w:t xml:space="preserve">Of the 100 children with </w:t>
      </w:r>
      <w:proofErr w:type="spellStart"/>
      <w:r w:rsidRPr="005345C4">
        <w:rPr>
          <w:rFonts w:ascii="Arial" w:hAnsi="Arial" w:cs="Arial"/>
          <w:color w:val="000000"/>
          <w:sz w:val="26"/>
          <w:szCs w:val="26"/>
          <w:lang w:val="en-US"/>
        </w:rPr>
        <w:t>pertussisinvolved</w:t>
      </w:r>
      <w:proofErr w:type="spellEnd"/>
      <w:r w:rsidRPr="005345C4">
        <w:rPr>
          <w:rFonts w:ascii="Arial" w:hAnsi="Arial" w:cs="Arial"/>
          <w:color w:val="000000"/>
          <w:sz w:val="26"/>
          <w:szCs w:val="26"/>
          <w:lang w:val="en-US"/>
        </w:rPr>
        <w:t>, 50 received azithromycin, and 50 received erythromycin.</w:t>
      </w:r>
      <w:r w:rsidR="00B052F9" w:rsidRPr="005345C4">
        <w:rPr>
          <w:rFonts w:ascii="Arial" w:hAnsi="Arial" w:cs="Arial"/>
          <w:color w:val="000000"/>
          <w:sz w:val="26"/>
          <w:szCs w:val="26"/>
          <w:lang w:val="en-US"/>
        </w:rPr>
        <w:t xml:space="preserve"> </w:t>
      </w:r>
      <w:r w:rsidRPr="005345C4">
        <w:rPr>
          <w:rFonts w:ascii="Arial" w:hAnsi="Arial" w:cs="Arial"/>
          <w:color w:val="000000"/>
          <w:sz w:val="26"/>
          <w:szCs w:val="26"/>
          <w:lang w:val="en-US"/>
        </w:rPr>
        <w:t>The study found that treatment led to vomiting in 5 patients in the azithromycin group and in 15 patients in the erythromycin group.</w:t>
      </w:r>
    </w:p>
    <w:p w14:paraId="2C433347" w14:textId="77777777" w:rsidR="00214122" w:rsidRPr="005345C4" w:rsidRDefault="00214122" w:rsidP="00214122">
      <w:pPr>
        <w:tabs>
          <w:tab w:val="left" w:pos="1455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  <w:lang w:val="en-US"/>
        </w:rPr>
      </w:pPr>
      <w:r w:rsidRPr="005345C4">
        <w:rPr>
          <w:rFonts w:ascii="Arial" w:hAnsi="Arial" w:cs="Arial"/>
          <w:b/>
          <w:i/>
          <w:color w:val="000000"/>
          <w:sz w:val="26"/>
          <w:szCs w:val="26"/>
          <w:lang w:val="en-US"/>
        </w:rPr>
        <w:t>The task.</w:t>
      </w:r>
      <w:r w:rsidRPr="005345C4">
        <w:rPr>
          <w:rFonts w:ascii="Arial" w:hAnsi="Arial" w:cs="Arial"/>
          <w:color w:val="000000"/>
          <w:sz w:val="26"/>
          <w:szCs w:val="26"/>
          <w:lang w:val="en-US"/>
        </w:rPr>
        <w:t xml:space="preserve"> Build a contingency table and calculate the rate of decrease in the absolute risk of vomiting in patients of the azithromycin group. Draw a conclusion.</w:t>
      </w:r>
    </w:p>
    <w:p w14:paraId="2912E623" w14:textId="77777777" w:rsidR="00BE0B88" w:rsidRDefault="00BE0B88" w:rsidP="00BE0B88">
      <w:pPr>
        <w:tabs>
          <w:tab w:val="left" w:pos="1455"/>
        </w:tabs>
        <w:spacing w:after="0"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CE6878">
        <w:rPr>
          <w:rFonts w:ascii="Arial" w:hAnsi="Arial" w:cs="Arial"/>
          <w:b/>
          <w:color w:val="000000"/>
          <w:sz w:val="28"/>
          <w:szCs w:val="28"/>
          <w:lang w:val="en-US"/>
        </w:rPr>
        <w:t xml:space="preserve">Solution to Problem </w:t>
      </w:r>
      <w:r>
        <w:rPr>
          <w:rFonts w:ascii="Arial" w:hAnsi="Arial" w:cs="Arial"/>
          <w:b/>
          <w:color w:val="000000"/>
          <w:sz w:val="28"/>
          <w:szCs w:val="28"/>
          <w:lang w:val="en-US"/>
        </w:rPr>
        <w:t>1</w:t>
      </w:r>
    </w:p>
    <w:p w14:paraId="5513A128" w14:textId="77777777" w:rsidR="00BE0B88" w:rsidRDefault="00BE0B88" w:rsidP="00214122">
      <w:pPr>
        <w:tabs>
          <w:tab w:val="left" w:pos="1455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6D1A7091" w14:textId="77777777" w:rsidR="000C62D1" w:rsidRPr="000C62D1" w:rsidRDefault="000C62D1" w:rsidP="000C62D1">
      <w:pPr>
        <w:tabs>
          <w:tab w:val="left" w:pos="1455"/>
        </w:tabs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val="en-US"/>
        </w:rPr>
      </w:pPr>
      <w:r w:rsidRPr="000C62D1">
        <w:rPr>
          <w:rFonts w:ascii="Arial" w:hAnsi="Arial" w:cs="Arial"/>
          <w:b/>
          <w:color w:val="000000"/>
          <w:sz w:val="28"/>
          <w:szCs w:val="28"/>
          <w:u w:val="single"/>
          <w:lang w:val="en-US"/>
        </w:rPr>
        <w:t>Contingency table</w:t>
      </w:r>
    </w:p>
    <w:p w14:paraId="2A5D603D" w14:textId="77777777" w:rsidR="000C62D1" w:rsidRDefault="000C62D1" w:rsidP="00214122">
      <w:pPr>
        <w:tabs>
          <w:tab w:val="left" w:pos="1455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1848"/>
        <w:gridCol w:w="1841"/>
        <w:gridCol w:w="2079"/>
      </w:tblGrid>
      <w:tr w:rsidR="000C62D1" w:rsidRPr="00CE6878" w14:paraId="074DF133" w14:textId="77777777" w:rsidTr="00B052F9">
        <w:trPr>
          <w:trHeight w:val="634"/>
          <w:jc w:val="center"/>
        </w:trPr>
        <w:tc>
          <w:tcPr>
            <w:tcW w:w="30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1DDD9" w14:textId="77777777" w:rsidR="000C62D1" w:rsidRPr="00CE6878" w:rsidRDefault="000C62D1" w:rsidP="00E144D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Groups</w:t>
            </w:r>
          </w:p>
        </w:tc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8B7EF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 xml:space="preserve">Vomiting </w:t>
            </w: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symptoms, effect</w:t>
            </w:r>
          </w:p>
        </w:tc>
        <w:tc>
          <w:tcPr>
            <w:tcW w:w="23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2E50717" w14:textId="77777777" w:rsidR="000C62D1" w:rsidRPr="00CE6878" w:rsidRDefault="000C62D1" w:rsidP="00E144D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Total</w:t>
            </w:r>
          </w:p>
        </w:tc>
      </w:tr>
      <w:tr w:rsidR="000C62D1" w:rsidRPr="00CE6878" w14:paraId="2E877A9B" w14:textId="77777777" w:rsidTr="00B052F9">
        <w:trPr>
          <w:trHeight w:val="675"/>
          <w:jc w:val="center"/>
        </w:trPr>
        <w:tc>
          <w:tcPr>
            <w:tcW w:w="30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ADDF5" w14:textId="77777777" w:rsidR="000C62D1" w:rsidRPr="00CE6878" w:rsidRDefault="000C62D1" w:rsidP="00E144D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1F532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val="ru-RU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presence </w:t>
            </w:r>
          </w:p>
          <w:p w14:paraId="797835EF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(+)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A0990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val="ru-RU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absence </w:t>
            </w:r>
          </w:p>
          <w:p w14:paraId="630D96FA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(-)</w:t>
            </w:r>
          </w:p>
        </w:tc>
        <w:tc>
          <w:tcPr>
            <w:tcW w:w="23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5E178" w14:textId="77777777" w:rsidR="000C62D1" w:rsidRPr="00CE6878" w:rsidRDefault="000C62D1" w:rsidP="00E144D6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</w:p>
        </w:tc>
      </w:tr>
      <w:tr w:rsidR="000C62D1" w:rsidRPr="00CE6878" w14:paraId="47D2ED98" w14:textId="77777777" w:rsidTr="00B052F9">
        <w:trPr>
          <w:trHeight w:val="1008"/>
          <w:jc w:val="center"/>
        </w:trPr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76720" w14:textId="77777777" w:rsidR="000C62D1" w:rsidRPr="00CE6878" w:rsidRDefault="000C62D1" w:rsidP="00B052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exposed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to </w:t>
            </w: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azithromycin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BEFCB" w14:textId="77777777" w:rsidR="000C62D1" w:rsidRPr="000C62D1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B2F49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1FCFA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C62D1" w:rsidRPr="00CE6878" w14:paraId="39438417" w14:textId="77777777" w:rsidTr="00B052F9">
        <w:trPr>
          <w:trHeight w:val="944"/>
          <w:jc w:val="center"/>
        </w:trPr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1B3D8" w14:textId="77777777" w:rsidR="000C62D1" w:rsidRPr="000C62D1" w:rsidRDefault="000C62D1" w:rsidP="000C62D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exposed</w:t>
            </w:r>
            <w:r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to </w:t>
            </w: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erythromycin</w:t>
            </w:r>
          </w:p>
          <w:p w14:paraId="308D0DDB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960BB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0AC11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5E29E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C62D1" w:rsidRPr="00CE6878" w14:paraId="1C735BE0" w14:textId="77777777" w:rsidTr="00B052F9">
        <w:trPr>
          <w:trHeight w:val="653"/>
          <w:jc w:val="center"/>
        </w:trPr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F4523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 w:rsidRPr="00CE6878">
              <w:rPr>
                <w:rFonts w:ascii="Arial" w:hAnsi="Arial" w:cs="Arial"/>
                <w:b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C474D" w14:textId="77777777" w:rsidR="000C62D1" w:rsidRPr="000C62D1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82AEB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39F7" w14:textId="77777777" w:rsidR="000C62D1" w:rsidRPr="00CE6878" w:rsidRDefault="000C62D1" w:rsidP="00E144D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lang w:val="en-US"/>
              </w:rPr>
              <w:t>100</w:t>
            </w:r>
          </w:p>
        </w:tc>
      </w:tr>
    </w:tbl>
    <w:p w14:paraId="10985B20" w14:textId="77777777" w:rsidR="000C62D1" w:rsidRDefault="000C62D1" w:rsidP="00214122">
      <w:pPr>
        <w:tabs>
          <w:tab w:val="left" w:pos="1455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3FEC8E53" w14:textId="77777777" w:rsidR="00E144D6" w:rsidRDefault="00E144D6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R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ate of decrease in the absolute risk of vomiting in patients of the azithromycin group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is given by</w:t>
      </w:r>
    </w:p>
    <w:p w14:paraId="711CECBA" w14:textId="77777777" w:rsidR="00E144D6" w:rsidRDefault="00E144D6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7DB28EF5" w14:textId="77777777" w:rsidR="00E144D6" w:rsidRDefault="00E74539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= (15/50 – 5/50) x 100 = 20%</w:t>
      </w:r>
    </w:p>
    <w:p w14:paraId="462342B7" w14:textId="77777777" w:rsidR="00E74539" w:rsidRDefault="00E74539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51C34E1B" w14:textId="77777777" w:rsidR="00B052F9" w:rsidRPr="00B052F9" w:rsidRDefault="00B052F9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B052F9">
        <w:rPr>
          <w:rFonts w:ascii="Arial" w:hAnsi="Arial" w:cs="Arial"/>
          <w:b/>
          <w:color w:val="000000"/>
          <w:sz w:val="28"/>
          <w:szCs w:val="28"/>
          <w:lang w:val="en-US"/>
        </w:rPr>
        <w:t>Conclusion:</w:t>
      </w:r>
    </w:p>
    <w:p w14:paraId="4C9843AA" w14:textId="77777777" w:rsidR="00B052F9" w:rsidRDefault="00B052F9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0868B324" w14:textId="77777777" w:rsidR="00E74539" w:rsidRDefault="00E74539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For children with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pertussis</w:t>
      </w:r>
      <w:r>
        <w:rPr>
          <w:rFonts w:ascii="Arial" w:hAnsi="Arial" w:cs="Arial"/>
          <w:color w:val="000000"/>
          <w:sz w:val="28"/>
          <w:szCs w:val="28"/>
          <w:lang w:val="en-US"/>
        </w:rPr>
        <w:t>, only 20% show the symptoms of vomiting</w:t>
      </w:r>
      <w:r w:rsidR="005345C4">
        <w:rPr>
          <w:rFonts w:ascii="Arial" w:hAnsi="Arial" w:cs="Arial"/>
          <w:color w:val="000000"/>
          <w:sz w:val="28"/>
          <w:szCs w:val="28"/>
          <w:lang w:val="en-US"/>
        </w:rPr>
        <w:t xml:space="preserve"> when treated with </w:t>
      </w:r>
      <w:r w:rsidR="005345C4" w:rsidRPr="00CE6878">
        <w:rPr>
          <w:rFonts w:ascii="Arial" w:hAnsi="Arial" w:cs="Arial"/>
          <w:color w:val="000000"/>
          <w:sz w:val="28"/>
          <w:szCs w:val="28"/>
          <w:lang w:val="en-US"/>
        </w:rPr>
        <w:t>azithromycin</w:t>
      </w:r>
      <w:r w:rsidR="005345C4">
        <w:rPr>
          <w:rFonts w:ascii="Arial" w:hAnsi="Arial" w:cs="Arial"/>
          <w:color w:val="000000"/>
          <w:sz w:val="28"/>
          <w:szCs w:val="28"/>
          <w:lang w:val="en-US"/>
        </w:rPr>
        <w:t xml:space="preserve"> or </w:t>
      </w:r>
      <w:r w:rsidR="005345C4" w:rsidRPr="00CE6878">
        <w:rPr>
          <w:rFonts w:ascii="Arial" w:hAnsi="Arial" w:cs="Arial"/>
          <w:color w:val="000000"/>
          <w:sz w:val="28"/>
          <w:szCs w:val="28"/>
          <w:lang w:val="en-US"/>
        </w:rPr>
        <w:t>erythromycin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. Out of the vomiting patients,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azithromycin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is likely to reduce </w:t>
      </w:r>
      <w:proofErr w:type="spellStart"/>
      <w:r>
        <w:rPr>
          <w:rFonts w:ascii="Arial" w:hAnsi="Arial" w:cs="Arial"/>
          <w:color w:val="000000"/>
          <w:sz w:val="28"/>
          <w:szCs w:val="28"/>
          <w:lang w:val="en-US"/>
        </w:rPr>
        <w:t>vomitting</w:t>
      </w:r>
      <w:proofErr w:type="spellEnd"/>
      <w:r>
        <w:rPr>
          <w:rFonts w:ascii="Arial" w:hAnsi="Arial" w:cs="Arial"/>
          <w:color w:val="000000"/>
          <w:sz w:val="28"/>
          <w:szCs w:val="28"/>
          <w:lang w:val="en-US"/>
        </w:rPr>
        <w:t xml:space="preserve"> by 20% as compared to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erythromycin</w:t>
      </w:r>
      <w:r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14:paraId="33AD3283" w14:textId="77777777" w:rsidR="005345C4" w:rsidRDefault="005345C4" w:rsidP="00E144D6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16779B8B" w14:textId="77777777" w:rsidR="00214122" w:rsidRPr="00CE6878" w:rsidRDefault="00214122" w:rsidP="00A3744D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b/>
          <w:color w:val="000000"/>
          <w:sz w:val="28"/>
          <w:szCs w:val="28"/>
          <w:lang w:val="en-US"/>
        </w:rPr>
        <w:t>Task 2</w:t>
      </w:r>
    </w:p>
    <w:p w14:paraId="0596CFB5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>A study was conducted in which 100 patients with type 2 diabetes mellitus (type 2 diabetes) received glipizide (</w:t>
      </w:r>
      <w:r w:rsidR="00A3744D" w:rsidRPr="00CE6878">
        <w:rPr>
          <w:rFonts w:ascii="Arial" w:hAnsi="Arial" w:cs="Arial"/>
          <w:color w:val="000000"/>
          <w:sz w:val="28"/>
          <w:szCs w:val="28"/>
          <w:lang w:val="en-US"/>
        </w:rPr>
        <w:t>g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roup A), and another 100 patients with type 2 diabetes received standard therapy (group B).</w:t>
      </w:r>
    </w:p>
    <w:p w14:paraId="05AB0CAD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 xml:space="preserve">Researchers have determined how effective glipizide is in preventing diabetic neuropathy. Over a 5-year period, the </w:t>
      </w:r>
      <w:proofErr w:type="spellStart"/>
      <w:r w:rsidRPr="00CE6878">
        <w:rPr>
          <w:rFonts w:ascii="Arial" w:hAnsi="Arial" w:cs="Arial"/>
          <w:color w:val="000000"/>
          <w:sz w:val="28"/>
          <w:szCs w:val="28"/>
          <w:lang w:val="en-US"/>
        </w:rPr>
        <w:t>Alc</w:t>
      </w:r>
      <w:proofErr w:type="spellEnd"/>
      <w:r w:rsidRPr="00CE6878">
        <w:rPr>
          <w:rFonts w:ascii="Arial" w:hAnsi="Arial" w:cs="Arial"/>
          <w:color w:val="000000"/>
          <w:sz w:val="28"/>
          <w:szCs w:val="28"/>
          <w:lang w:val="en-US"/>
        </w:rPr>
        <w:t xml:space="preserve"> hemoglobin level was determined monthly and a diabetic foot was examined.</w:t>
      </w:r>
    </w:p>
    <w:p w14:paraId="0E120BFD" w14:textId="77777777" w:rsidR="00214122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>At the end of the study, using the filament test, we determined the number of people in group A and group B who developed signs of diabetic neuropathy. The results are shown in the table:</w:t>
      </w:r>
    </w:p>
    <w:p w14:paraId="656292CB" w14:textId="77777777" w:rsidR="00213D16" w:rsidRPr="00CE6878" w:rsidRDefault="00213D16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268"/>
        <w:gridCol w:w="1984"/>
        <w:gridCol w:w="1559"/>
      </w:tblGrid>
      <w:tr w:rsidR="00214122" w:rsidRPr="00CE6878" w14:paraId="5FA7FCA2" w14:textId="77777777" w:rsidTr="00A3744D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6432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Groups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E7B9A" w14:textId="77777777" w:rsidR="00214122" w:rsidRPr="00CE6878" w:rsidRDefault="00214122" w:rsidP="00A374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Diabetic neuropathy detected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88794" w14:textId="77777777" w:rsidR="00214122" w:rsidRPr="00CE6878" w:rsidRDefault="00214122" w:rsidP="00A374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No diabetic neuropathy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6214A" w14:textId="77777777" w:rsidR="00214122" w:rsidRPr="00CE6878" w:rsidRDefault="00214122" w:rsidP="00A374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Total</w:t>
            </w:r>
          </w:p>
        </w:tc>
      </w:tr>
      <w:tr w:rsidR="00214122" w:rsidRPr="00CE6878" w14:paraId="12A2E7A9" w14:textId="77777777" w:rsidTr="00A3744D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3AA25" w14:textId="77777777" w:rsidR="00214122" w:rsidRPr="00CE6878" w:rsidRDefault="00214122" w:rsidP="00A374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Patients receiving</w:t>
            </w: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glipizide</w:t>
            </w:r>
            <w:r w:rsidR="00A3744D"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(group 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3185F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AC091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A3C29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214122" w:rsidRPr="00CE6878" w14:paraId="5CEC96F0" w14:textId="77777777" w:rsidTr="00A3744D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DEE0D" w14:textId="77777777" w:rsidR="00214122" w:rsidRPr="00CE6878" w:rsidRDefault="00214122" w:rsidP="00A374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Patients receiving</w:t>
            </w: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standard therapy </w:t>
            </w:r>
            <w:r w:rsidR="00A3744D"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(group B)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23047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FF8A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2329E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100</w:t>
            </w:r>
          </w:p>
        </w:tc>
      </w:tr>
      <w:tr w:rsidR="00214122" w:rsidRPr="00CE6878" w14:paraId="4371EE3F" w14:textId="77777777" w:rsidTr="00A3744D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75039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  <w:highlight w:val="green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Total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D8F25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  <w:highlight w:val="green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962C4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  <w:highlight w:val="green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01BA" w14:textId="77777777" w:rsidR="00214122" w:rsidRPr="00CE6878" w:rsidRDefault="00214122" w:rsidP="00214122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color w:val="000000"/>
                <w:sz w:val="28"/>
                <w:szCs w:val="28"/>
                <w:highlight w:val="green"/>
              </w:rPr>
            </w:pPr>
            <w:r w:rsidRPr="00CE6878">
              <w:rPr>
                <w:rFonts w:ascii="Arial" w:hAnsi="Arial" w:cs="Arial"/>
                <w:color w:val="000000"/>
                <w:sz w:val="28"/>
                <w:szCs w:val="28"/>
              </w:rPr>
              <w:t>200</w:t>
            </w:r>
          </w:p>
        </w:tc>
      </w:tr>
    </w:tbl>
    <w:p w14:paraId="04CDD124" w14:textId="77777777" w:rsidR="00E74539" w:rsidRDefault="00E74539" w:rsidP="00214122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  <w:lang w:val="en-US"/>
        </w:rPr>
      </w:pPr>
    </w:p>
    <w:p w14:paraId="66DCF4EB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b/>
          <w:color w:val="000000"/>
          <w:sz w:val="28"/>
          <w:szCs w:val="28"/>
          <w:lang w:val="en-US"/>
        </w:rPr>
        <w:t>Question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. How many patients with type 2 diabetes should be treated with glipizide to prevent one case of diabetic neuropathy?</w:t>
      </w:r>
    </w:p>
    <w:p w14:paraId="45ACC6F8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>Calculate:</w:t>
      </w:r>
    </w:p>
    <w:p w14:paraId="1059EBA4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>ATS (absolute risk reduction)</w:t>
      </w:r>
    </w:p>
    <w:p w14:paraId="64B1BA5C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>NNT (number of patients to be treated)</w:t>
      </w:r>
    </w:p>
    <w:p w14:paraId="114735B7" w14:textId="77777777" w:rsidR="00214122" w:rsidRPr="00CE6878" w:rsidRDefault="00214122" w:rsidP="0021412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CE6878">
        <w:rPr>
          <w:rFonts w:ascii="Arial" w:hAnsi="Arial" w:cs="Arial"/>
          <w:color w:val="000000"/>
          <w:sz w:val="28"/>
          <w:szCs w:val="28"/>
          <w:lang w:val="en-US"/>
        </w:rPr>
        <w:t>Analyze the result and draw a conclusion</w:t>
      </w:r>
    </w:p>
    <w:p w14:paraId="73E45C3C" w14:textId="77777777" w:rsidR="00A3744D" w:rsidRPr="00CE6878" w:rsidRDefault="00A3744D" w:rsidP="00A3744D">
      <w:pPr>
        <w:tabs>
          <w:tab w:val="left" w:pos="1455"/>
        </w:tabs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8"/>
          <w:szCs w:val="28"/>
          <w:lang w:val="en-US"/>
        </w:rPr>
      </w:pPr>
    </w:p>
    <w:p w14:paraId="1AB350D3" w14:textId="77777777" w:rsidR="00E74539" w:rsidRDefault="00214122" w:rsidP="00A3744D">
      <w:pPr>
        <w:tabs>
          <w:tab w:val="left" w:pos="1455"/>
        </w:tabs>
        <w:spacing w:after="0" w:line="240" w:lineRule="auto"/>
        <w:jc w:val="center"/>
        <w:rPr>
          <w:rFonts w:ascii="Arial" w:hAnsi="Arial" w:cs="Arial"/>
          <w:sz w:val="28"/>
          <w:szCs w:val="28"/>
          <w:lang w:val="ru-RU"/>
        </w:rPr>
      </w:pPr>
      <w:r w:rsidRPr="00CE6878">
        <w:rPr>
          <w:rFonts w:ascii="Arial" w:hAnsi="Arial" w:cs="Arial"/>
          <w:b/>
          <w:color w:val="000000"/>
          <w:sz w:val="28"/>
          <w:szCs w:val="28"/>
          <w:lang w:val="en-US"/>
        </w:rPr>
        <w:t>Solution to Problem 2</w:t>
      </w:r>
    </w:p>
    <w:p w14:paraId="6C307F33" w14:textId="77777777" w:rsidR="00E74539" w:rsidRDefault="00E74539" w:rsidP="00E74539">
      <w:pPr>
        <w:rPr>
          <w:rFonts w:ascii="Arial" w:hAnsi="Arial" w:cs="Arial"/>
          <w:sz w:val="28"/>
          <w:szCs w:val="28"/>
          <w:lang w:val="ru-RU"/>
        </w:rPr>
      </w:pPr>
    </w:p>
    <w:p w14:paraId="1B8CAB7C" w14:textId="77777777" w:rsidR="00E74539" w:rsidRDefault="00E74539" w:rsidP="00E74539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proofErr w:type="spellStart"/>
      <w:r>
        <w:rPr>
          <w:rFonts w:ascii="Arial" w:hAnsi="Arial" w:cs="Arial"/>
          <w:color w:val="000000"/>
          <w:sz w:val="28"/>
          <w:szCs w:val="28"/>
          <w:lang w:val="en-US"/>
        </w:rPr>
        <w:t>Absolue</w:t>
      </w:r>
      <w:proofErr w:type="spellEnd"/>
      <w:r>
        <w:rPr>
          <w:rFonts w:ascii="Arial" w:hAnsi="Arial" w:cs="Arial"/>
          <w:color w:val="000000"/>
          <w:sz w:val="28"/>
          <w:szCs w:val="28"/>
          <w:lang w:val="en-US"/>
        </w:rPr>
        <w:t xml:space="preserve"> risk reduction</w:t>
      </w:r>
    </w:p>
    <w:p w14:paraId="7E9B7382" w14:textId="77777777" w:rsidR="00E74539" w:rsidRDefault="00E74539" w:rsidP="00E74539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= (70/100 – 50/100) x 100 = 20%</w:t>
      </w:r>
    </w:p>
    <w:p w14:paraId="2CAB3CA9" w14:textId="77777777" w:rsidR="00AA7AAE" w:rsidRDefault="00AA7AAE" w:rsidP="00E74539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</w:p>
    <w:p w14:paraId="4042F1BE" w14:textId="77777777" w:rsidR="00AA7AAE" w:rsidRDefault="00AA7AAE" w:rsidP="00E74539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Number of patients to be treated</w:t>
      </w:r>
      <w:r w:rsidR="004E5D6E">
        <w:rPr>
          <w:rFonts w:ascii="Arial" w:hAnsi="Arial" w:cs="Arial"/>
          <w:color w:val="000000"/>
          <w:sz w:val="28"/>
          <w:szCs w:val="28"/>
          <w:lang w:val="en-US"/>
        </w:rPr>
        <w:t xml:space="preserve"> (NNT)</w:t>
      </w:r>
    </w:p>
    <w:p w14:paraId="6340D166" w14:textId="77777777" w:rsidR="00AA7AAE" w:rsidRDefault="00AA7AAE" w:rsidP="00E74539">
      <w:pPr>
        <w:tabs>
          <w:tab w:val="left" w:pos="1455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= 1/0.2 = 5</w:t>
      </w:r>
    </w:p>
    <w:p w14:paraId="48AE2BEB" w14:textId="77777777" w:rsidR="00B052F9" w:rsidRDefault="00B052F9" w:rsidP="00B052F9">
      <w:pPr>
        <w:rPr>
          <w:rFonts w:ascii="Arial" w:hAnsi="Arial" w:cs="Arial"/>
          <w:color w:val="000000"/>
          <w:sz w:val="28"/>
          <w:szCs w:val="28"/>
          <w:lang w:val="en-US"/>
        </w:rPr>
      </w:pPr>
    </w:p>
    <w:p w14:paraId="5CD7A57E" w14:textId="77777777" w:rsidR="00B052F9" w:rsidRPr="00B052F9" w:rsidRDefault="00B052F9" w:rsidP="00B052F9">
      <w:pP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B052F9">
        <w:rPr>
          <w:rFonts w:ascii="Arial" w:hAnsi="Arial" w:cs="Arial"/>
          <w:b/>
          <w:color w:val="000000"/>
          <w:sz w:val="28"/>
          <w:szCs w:val="28"/>
          <w:lang w:val="en-US"/>
        </w:rPr>
        <w:t>Conclusion:</w:t>
      </w:r>
    </w:p>
    <w:p w14:paraId="57F4CBC8" w14:textId="77777777" w:rsidR="00B052F9" w:rsidRPr="00B052F9" w:rsidRDefault="00B052F9" w:rsidP="00B052F9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The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type 2 diabet</w:t>
      </w:r>
      <w:r>
        <w:rPr>
          <w:rFonts w:ascii="Arial" w:hAnsi="Arial" w:cs="Arial"/>
          <w:color w:val="000000"/>
          <w:sz w:val="28"/>
          <w:szCs w:val="28"/>
          <w:lang w:val="en-US"/>
        </w:rPr>
        <w:t>ic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patients treated with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glipizide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helps in reducing risk by 20%. Further, 5 </w:t>
      </w:r>
      <w:r w:rsidRPr="00CE6878">
        <w:rPr>
          <w:rFonts w:ascii="Arial" w:hAnsi="Arial" w:cs="Arial"/>
          <w:color w:val="000000"/>
          <w:sz w:val="28"/>
          <w:szCs w:val="28"/>
          <w:lang w:val="en-US"/>
        </w:rPr>
        <w:t>patients with type 2 diabetes should be treated with glipizide to prevent one case of diabetic neuropathy</w:t>
      </w:r>
      <w:r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sectPr w:rsidR="00B052F9" w:rsidRPr="00B052F9" w:rsidSect="00214122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DC90" w14:textId="77777777" w:rsidR="00540482" w:rsidRDefault="00540482" w:rsidP="00B12017">
      <w:pPr>
        <w:spacing w:after="0" w:line="240" w:lineRule="auto"/>
      </w:pPr>
      <w:r>
        <w:separator/>
      </w:r>
    </w:p>
  </w:endnote>
  <w:endnote w:type="continuationSeparator" w:id="0">
    <w:p w14:paraId="46815373" w14:textId="77777777" w:rsidR="00540482" w:rsidRDefault="00540482" w:rsidP="00B1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D80C5" w14:textId="77777777" w:rsidR="00540482" w:rsidRDefault="00540482" w:rsidP="00B12017">
      <w:pPr>
        <w:spacing w:after="0" w:line="240" w:lineRule="auto"/>
      </w:pPr>
      <w:r>
        <w:separator/>
      </w:r>
    </w:p>
  </w:footnote>
  <w:footnote w:type="continuationSeparator" w:id="0">
    <w:p w14:paraId="03084F63" w14:textId="77777777" w:rsidR="00540482" w:rsidRDefault="00540482" w:rsidP="00B1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104B" w14:textId="32CC6B96" w:rsidR="00B12017" w:rsidRDefault="00B12017">
    <w:pPr>
      <w:pStyle w:val="Header"/>
    </w:pPr>
    <w:r>
      <w:rPr>
        <w:noProof/>
      </w:rPr>
      <w:drawing>
        <wp:inline distT="0" distB="0" distL="0" distR="0" wp14:anchorId="11CA2069" wp14:editId="5A0669BC">
          <wp:extent cx="1720850" cy="658308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449" cy="662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29FDDC" w14:textId="77777777" w:rsidR="00B12017" w:rsidRDefault="00B120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08A"/>
    <w:rsid w:val="00017CB4"/>
    <w:rsid w:val="000202CC"/>
    <w:rsid w:val="000B765D"/>
    <w:rsid w:val="000C62D1"/>
    <w:rsid w:val="001B3FBE"/>
    <w:rsid w:val="001F193E"/>
    <w:rsid w:val="00213D16"/>
    <w:rsid w:val="00214122"/>
    <w:rsid w:val="002F299A"/>
    <w:rsid w:val="004E5D6E"/>
    <w:rsid w:val="005345C4"/>
    <w:rsid w:val="00540482"/>
    <w:rsid w:val="00666582"/>
    <w:rsid w:val="00A3744D"/>
    <w:rsid w:val="00AA7AAE"/>
    <w:rsid w:val="00AC4C7A"/>
    <w:rsid w:val="00B052F9"/>
    <w:rsid w:val="00B12017"/>
    <w:rsid w:val="00BE0B88"/>
    <w:rsid w:val="00CD399C"/>
    <w:rsid w:val="00CE6878"/>
    <w:rsid w:val="00E0608A"/>
    <w:rsid w:val="00E144D6"/>
    <w:rsid w:val="00E74539"/>
    <w:rsid w:val="00EB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EF0FAA"/>
  <w15:docId w15:val="{98FABFE8-06A3-4DF7-A534-655A726A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122"/>
    <w:pPr>
      <w:spacing w:after="200" w:line="276" w:lineRule="auto"/>
    </w:pPr>
    <w:rPr>
      <w:sz w:val="22"/>
      <w:szCs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 Рис подпись"/>
    <w:basedOn w:val="Normal"/>
    <w:link w:val="a0"/>
    <w:rsid w:val="00214122"/>
    <w:pPr>
      <w:spacing w:after="120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0">
    <w:name w:val="об Рис подпись Знак Знак"/>
    <w:link w:val="a"/>
    <w:rsid w:val="0021412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214122"/>
    <w:rPr>
      <w:rFonts w:eastAsia="SimSu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14122"/>
  </w:style>
  <w:style w:type="paragraph" w:customStyle="1" w:styleId="a1">
    <w:name w:val="задача"/>
    <w:basedOn w:val="Normal"/>
    <w:rsid w:val="00214122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41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20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017"/>
    <w:rPr>
      <w:sz w:val="22"/>
      <w:szCs w:val="22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B120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017"/>
    <w:rPr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rashmi venkat raman</cp:lastModifiedBy>
  <cp:revision>4</cp:revision>
  <dcterms:created xsi:type="dcterms:W3CDTF">2021-05-10T08:00:00Z</dcterms:created>
  <dcterms:modified xsi:type="dcterms:W3CDTF">2023-02-22T04:09:00Z</dcterms:modified>
</cp:coreProperties>
</file>