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05C13" w14:textId="77777777" w:rsidR="002919BD" w:rsidRDefault="002919BD" w:rsidP="00410766">
      <w:pPr>
        <w:spacing w:before="120" w:after="0" w:line="288" w:lineRule="auto"/>
        <w:rPr>
          <w:rFonts w:ascii="Times New Roman" w:eastAsia="Times New Roman" w:hAnsi="Times New Roman" w:cs="Times New Roman"/>
          <w:b/>
          <w:sz w:val="28"/>
          <w:szCs w:val="28"/>
          <w:u w:val="single"/>
        </w:rPr>
      </w:pPr>
    </w:p>
    <w:p w14:paraId="0588FFBA"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b/>
          <w:color w:val="333333"/>
          <w:sz w:val="28"/>
          <w:szCs w:val="28"/>
          <w:highlight w:val="white"/>
        </w:rPr>
        <w:t>Epidemiological analysis</w:t>
      </w:r>
      <w:r>
        <w:rPr>
          <w:rFonts w:ascii="Times New Roman" w:eastAsia="Times New Roman" w:hAnsi="Times New Roman" w:cs="Times New Roman"/>
          <w:color w:val="333333"/>
          <w:sz w:val="28"/>
          <w:szCs w:val="28"/>
          <w:highlight w:val="white"/>
        </w:rPr>
        <w:t xml:space="preserve"> is the analysis of the level, structure and dynamics of the incidence rate for any period of time or at the moment. In the study of incidence over a time interval, the results of systematic observation are taken. The analysis currently uses the results of a simultaneous (transverse) examination. Its purpose is to establish the causes and conditions that determine the manifestations of the epidemic process.</w:t>
      </w:r>
    </w:p>
    <w:p w14:paraId="73C7263C"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b/>
          <w:color w:val="333333"/>
          <w:sz w:val="28"/>
          <w:szCs w:val="28"/>
          <w:highlight w:val="white"/>
        </w:rPr>
        <w:t>Epidemiological analysis</w:t>
      </w:r>
      <w:r>
        <w:rPr>
          <w:rFonts w:ascii="Times New Roman" w:eastAsia="Times New Roman" w:hAnsi="Times New Roman" w:cs="Times New Roman"/>
          <w:color w:val="333333"/>
          <w:sz w:val="28"/>
          <w:szCs w:val="28"/>
          <w:highlight w:val="white"/>
        </w:rPr>
        <w:t xml:space="preserve"> is part of epidemiological surveillance, which is implemented in two time categories - retrospectively and expeditiously. The main task of a retrospective epidemiological analysis is to assess the status and development trends of the epidemic process, which is designed to identify risk areas, risk groups, time periods and risk factors.</w:t>
      </w:r>
    </w:p>
    <w:p w14:paraId="3A12B752"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b/>
          <w:color w:val="333333"/>
          <w:sz w:val="28"/>
          <w:szCs w:val="28"/>
          <w:highlight w:val="white"/>
        </w:rPr>
        <w:t>The incidence rate reflects</w:t>
      </w:r>
      <w:r>
        <w:rPr>
          <w:rFonts w:ascii="Times New Roman" w:eastAsia="Times New Roman" w:hAnsi="Times New Roman" w:cs="Times New Roman"/>
          <w:color w:val="333333"/>
          <w:sz w:val="28"/>
          <w:szCs w:val="28"/>
          <w:highlight w:val="white"/>
        </w:rPr>
        <w:t>:</w:t>
      </w:r>
    </w:p>
    <w:p w14:paraId="7B0F9170"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color w:val="333333"/>
          <w:sz w:val="28"/>
          <w:szCs w:val="28"/>
          <w:highlight w:val="white"/>
        </w:rPr>
        <w:t>The frequency of newly diagnosed cases of the disease in a population group (risk group) for a given period (time) in a given territory;</w:t>
      </w:r>
    </w:p>
    <w:p w14:paraId="1F4B6EEC"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color w:val="333333"/>
          <w:sz w:val="28"/>
          <w:szCs w:val="28"/>
          <w:highlight w:val="white"/>
        </w:rPr>
        <w:t> ... The proportion of cases (proportion of new cases) of the disease in the same group for the same time in the same territory.</w:t>
      </w:r>
    </w:p>
    <w:p w14:paraId="2BEB29AE" w14:textId="77777777" w:rsidR="002919BD" w:rsidRDefault="00000000">
      <w:pPr>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b/>
          <w:color w:val="333333"/>
          <w:sz w:val="28"/>
          <w:szCs w:val="28"/>
          <w:highlight w:val="white"/>
        </w:rPr>
        <w:t>Incidence rates (incidence)</w:t>
      </w:r>
      <w:r>
        <w:rPr>
          <w:rFonts w:ascii="Times New Roman" w:eastAsia="Times New Roman" w:hAnsi="Times New Roman" w:cs="Times New Roman"/>
          <w:color w:val="333333"/>
          <w:sz w:val="28"/>
          <w:szCs w:val="28"/>
          <w:highlight w:val="white"/>
        </w:rPr>
        <w:t xml:space="preserve"> • Measurement of the frequency of new cases (outcomes) in a risk population - That is, only among those who have a non-zero probability of developing the outcome (the denominator should not include people who are not at risk of developing the disease!) the frequency of IOCI per 100 operations, the frequency of UTI caused by MRSA per 100 patients • In analytical epidemiology, they are most often used in the context of cohort Research • The basis for many analytical techniques: - Risk ratio - Risk difference - Survival analysis and others</w:t>
      </w:r>
    </w:p>
    <w:p w14:paraId="77AAB8CC" w14:textId="77777777" w:rsidR="002919BD" w:rsidRDefault="0000000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Cumulative incidence (CI)</w:t>
      </w:r>
      <w:r>
        <w:rPr>
          <w:rFonts w:ascii="Times New Roman" w:eastAsia="Times New Roman" w:hAnsi="Times New Roman" w:cs="Times New Roman"/>
          <w:sz w:val="28"/>
          <w:szCs w:val="28"/>
        </w:rPr>
        <w:t xml:space="preserve"> • The total number of new cases of the disease (or other outcome) in the risk population • As a rule, it is measured over a certain period of time (more often than a year) • Calculation formula: •</w:t>
      </w:r>
    </w:p>
    <w:tbl>
      <w:tblPr>
        <w:tblStyle w:val="a"/>
        <w:tblW w:w="9503" w:type="dxa"/>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6587"/>
        <w:gridCol w:w="1569"/>
      </w:tblGrid>
      <w:tr w:rsidR="002919BD" w14:paraId="26894F09" w14:textId="77777777">
        <w:trPr>
          <w:trHeight w:val="477"/>
        </w:trPr>
        <w:tc>
          <w:tcPr>
            <w:tcW w:w="1347" w:type="dxa"/>
            <w:vMerge w:val="restart"/>
            <w:tcBorders>
              <w:top w:val="nil"/>
              <w:left w:val="nil"/>
              <w:bottom w:val="nil"/>
              <w:right w:val="nil"/>
            </w:tcBorders>
          </w:tcPr>
          <w:p w14:paraId="6B8059FA" w14:textId="77777777" w:rsidR="002919BD" w:rsidRDefault="002919BD">
            <w:pPr>
              <w:spacing w:line="240" w:lineRule="auto"/>
              <w:ind w:left="-71"/>
              <w:rPr>
                <w:rFonts w:ascii="Times New Roman" w:eastAsia="Times New Roman" w:hAnsi="Times New Roman" w:cs="Times New Roman"/>
                <w:b/>
                <w:sz w:val="28"/>
                <w:szCs w:val="28"/>
              </w:rPr>
            </w:pPr>
          </w:p>
          <w:p w14:paraId="3608AD01" w14:textId="77777777" w:rsidR="002919BD" w:rsidRDefault="00000000">
            <w:pPr>
              <w:ind w:left="-71"/>
              <w:rPr>
                <w:rFonts w:ascii="Times New Roman" w:eastAsia="Times New Roman" w:hAnsi="Times New Roman" w:cs="Times New Roman"/>
                <w:b/>
                <w:sz w:val="28"/>
                <w:szCs w:val="28"/>
              </w:rPr>
            </w:pPr>
            <w:r>
              <w:rPr>
                <w:rFonts w:ascii="Times New Roman" w:eastAsia="Times New Roman" w:hAnsi="Times New Roman" w:cs="Times New Roman"/>
                <w:b/>
                <w:sz w:val="28"/>
                <w:szCs w:val="28"/>
              </w:rPr>
              <w:t>СI=</w:t>
            </w:r>
          </w:p>
        </w:tc>
        <w:tc>
          <w:tcPr>
            <w:tcW w:w="6587" w:type="dxa"/>
            <w:tcBorders>
              <w:top w:val="nil"/>
              <w:left w:val="nil"/>
              <w:bottom w:val="single" w:sz="4" w:space="0" w:color="000000"/>
              <w:right w:val="nil"/>
            </w:tcBorders>
          </w:tcPr>
          <w:p w14:paraId="05E1C979" w14:textId="77777777" w:rsidR="002919BD" w:rsidRDefault="00000000">
            <w:pPr>
              <w:ind w:left="-71"/>
              <w:rPr>
                <w:rFonts w:ascii="Times New Roman" w:eastAsia="Times New Roman" w:hAnsi="Times New Roman" w:cs="Times New Roman"/>
                <w:b/>
                <w:sz w:val="28"/>
                <w:szCs w:val="28"/>
              </w:rPr>
            </w:pPr>
            <w:r>
              <w:rPr>
                <w:rFonts w:ascii="Times New Roman" w:eastAsia="Times New Roman" w:hAnsi="Times New Roman" w:cs="Times New Roman"/>
                <w:b/>
                <w:sz w:val="28"/>
                <w:szCs w:val="28"/>
              </w:rPr>
              <w:t>Number of new cases</w:t>
            </w:r>
          </w:p>
        </w:tc>
        <w:tc>
          <w:tcPr>
            <w:tcW w:w="1569" w:type="dxa"/>
            <w:vMerge w:val="restart"/>
            <w:tcBorders>
              <w:top w:val="nil"/>
              <w:left w:val="nil"/>
              <w:bottom w:val="nil"/>
              <w:right w:val="nil"/>
            </w:tcBorders>
          </w:tcPr>
          <w:p w14:paraId="41FACCB9" w14:textId="77777777" w:rsidR="002919BD" w:rsidRDefault="002919BD">
            <w:pPr>
              <w:ind w:left="-71"/>
              <w:rPr>
                <w:rFonts w:ascii="Times New Roman" w:eastAsia="Times New Roman" w:hAnsi="Times New Roman" w:cs="Times New Roman"/>
                <w:b/>
                <w:sz w:val="28"/>
                <w:szCs w:val="28"/>
              </w:rPr>
            </w:pPr>
          </w:p>
          <w:p w14:paraId="4D8C9DAA" w14:textId="77777777" w:rsidR="002919BD" w:rsidRDefault="00000000">
            <w:pPr>
              <w:ind w:left="-71"/>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х10</w:t>
            </w:r>
            <w:r>
              <w:rPr>
                <w:rFonts w:ascii="Times New Roman" w:eastAsia="Times New Roman" w:hAnsi="Times New Roman" w:cs="Times New Roman"/>
                <w:b/>
                <w:sz w:val="28"/>
                <w:szCs w:val="28"/>
                <w:vertAlign w:val="superscript"/>
              </w:rPr>
              <w:t>х</w:t>
            </w:r>
          </w:p>
        </w:tc>
      </w:tr>
      <w:tr w:rsidR="002919BD" w14:paraId="62A230D1" w14:textId="77777777">
        <w:trPr>
          <w:trHeight w:val="817"/>
        </w:trPr>
        <w:tc>
          <w:tcPr>
            <w:tcW w:w="1347" w:type="dxa"/>
            <w:vMerge/>
            <w:tcBorders>
              <w:top w:val="nil"/>
              <w:left w:val="nil"/>
              <w:bottom w:val="nil"/>
              <w:right w:val="nil"/>
            </w:tcBorders>
          </w:tcPr>
          <w:p w14:paraId="7CA9E2A9" w14:textId="77777777" w:rsidR="002919BD" w:rsidRDefault="002919BD">
            <w:pPr>
              <w:widowControl w:val="0"/>
              <w:pBdr>
                <w:top w:val="nil"/>
                <w:left w:val="nil"/>
                <w:bottom w:val="nil"/>
                <w:right w:val="nil"/>
                <w:between w:val="nil"/>
              </w:pBdr>
              <w:spacing w:after="0"/>
              <w:rPr>
                <w:rFonts w:ascii="Times New Roman" w:eastAsia="Times New Roman" w:hAnsi="Times New Roman" w:cs="Times New Roman"/>
                <w:b/>
                <w:sz w:val="28"/>
                <w:szCs w:val="28"/>
              </w:rPr>
            </w:pPr>
          </w:p>
        </w:tc>
        <w:tc>
          <w:tcPr>
            <w:tcW w:w="6587" w:type="dxa"/>
            <w:tcBorders>
              <w:left w:val="nil"/>
              <w:bottom w:val="nil"/>
              <w:right w:val="nil"/>
            </w:tcBorders>
          </w:tcPr>
          <w:p w14:paraId="1C6957CC" w14:textId="77777777" w:rsidR="002919BD" w:rsidRDefault="00000000">
            <w:pPr>
              <w:ind w:left="-71"/>
              <w:rPr>
                <w:rFonts w:ascii="Times New Roman" w:eastAsia="Times New Roman" w:hAnsi="Times New Roman" w:cs="Times New Roman"/>
                <w:b/>
                <w:sz w:val="28"/>
                <w:szCs w:val="28"/>
              </w:rPr>
            </w:pPr>
            <w:r>
              <w:rPr>
                <w:rFonts w:ascii="Times New Roman" w:eastAsia="Times New Roman" w:hAnsi="Times New Roman" w:cs="Times New Roman"/>
                <w:b/>
                <w:sz w:val="28"/>
                <w:szCs w:val="28"/>
              </w:rPr>
              <w:t>Risk population</w:t>
            </w:r>
          </w:p>
        </w:tc>
        <w:tc>
          <w:tcPr>
            <w:tcW w:w="1569" w:type="dxa"/>
            <w:vMerge/>
            <w:tcBorders>
              <w:top w:val="nil"/>
              <w:left w:val="nil"/>
              <w:bottom w:val="nil"/>
              <w:right w:val="nil"/>
            </w:tcBorders>
          </w:tcPr>
          <w:p w14:paraId="1059DDE4" w14:textId="77777777" w:rsidR="002919BD" w:rsidRDefault="002919BD">
            <w:pPr>
              <w:widowControl w:val="0"/>
              <w:pBdr>
                <w:top w:val="nil"/>
                <w:left w:val="nil"/>
                <w:bottom w:val="nil"/>
                <w:right w:val="nil"/>
                <w:between w:val="nil"/>
              </w:pBdr>
              <w:spacing w:after="0"/>
              <w:rPr>
                <w:rFonts w:ascii="Times New Roman" w:eastAsia="Times New Roman" w:hAnsi="Times New Roman" w:cs="Times New Roman"/>
                <w:b/>
                <w:sz w:val="28"/>
                <w:szCs w:val="28"/>
              </w:rPr>
            </w:pPr>
          </w:p>
        </w:tc>
      </w:tr>
    </w:tbl>
    <w:p w14:paraId="0337BC96" w14:textId="77777777" w:rsidR="002919BD" w:rsidRDefault="002919BD">
      <w:pPr>
        <w:rPr>
          <w:sz w:val="28"/>
          <w:szCs w:val="28"/>
        </w:rPr>
      </w:pPr>
    </w:p>
    <w:p w14:paraId="0C4A873C" w14:textId="77777777" w:rsidR="002919BD"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For ease of perception, it is multiplied by a multiple of 10 (100, 1000, 10.000, 100.000), so that the result is more than 1 - For example: 5.5 per 1000 people, and not 0.055 (per 1 person)</w:t>
      </w:r>
    </w:p>
    <w:p w14:paraId="2232B9E1" w14:textId="77777777" w:rsidR="002919BD"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Thus, the cumulative incidence rate is the proportion of healthy individuals at the beginning of the study who fall ill during the considered period of time.</w:t>
      </w:r>
    </w:p>
    <w:p w14:paraId="0F11B63D" w14:textId="77777777" w:rsidR="002919BD"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The magnitude of cumulative morbidity is directly related to the length of the observation period Y (risk period taken into account): the longer it is, the cumulative morbidity is higher. Duration should therefore always be taken into account in parallel with the cumulative incidence rate and taken into account when interpreting its values.</w:t>
      </w:r>
    </w:p>
    <w:p w14:paraId="3588EDA8" w14:textId="77777777" w:rsidR="002919BD" w:rsidRDefault="0000000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Incidence Density (Risk) •</w:t>
      </w:r>
    </w:p>
    <w:p w14:paraId="61121DA8" w14:textId="77777777" w:rsidR="002919BD"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Cumulative incidence does not take into account the duration of exposure (does not take into account the duration of exposure) - A person with a catheterization duration of 1 day is equalized with the one whose catheter was installed for 10 days. The incidence density takes into account the duration of exposure (exposure)</w:t>
      </w:r>
    </w:p>
    <w:tbl>
      <w:tblPr>
        <w:tblStyle w:val="a0"/>
        <w:tblW w:w="7460"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23"/>
        <w:gridCol w:w="4820"/>
        <w:gridCol w:w="1417"/>
      </w:tblGrid>
      <w:tr w:rsidR="002919BD" w14:paraId="50410F2A" w14:textId="77777777">
        <w:trPr>
          <w:trHeight w:val="407"/>
        </w:trPr>
        <w:tc>
          <w:tcPr>
            <w:tcW w:w="1223" w:type="dxa"/>
            <w:vMerge w:val="restart"/>
            <w:tcBorders>
              <w:top w:val="nil"/>
              <w:left w:val="nil"/>
              <w:bottom w:val="nil"/>
              <w:right w:val="nil"/>
            </w:tcBorders>
          </w:tcPr>
          <w:p w14:paraId="0F08B377" w14:textId="77777777" w:rsidR="002919BD" w:rsidRDefault="002919BD">
            <w:pPr>
              <w:spacing w:line="240" w:lineRule="auto"/>
              <w:rPr>
                <w:rFonts w:ascii="Times New Roman" w:eastAsia="Times New Roman" w:hAnsi="Times New Roman" w:cs="Times New Roman"/>
                <w:b/>
                <w:sz w:val="28"/>
                <w:szCs w:val="28"/>
              </w:rPr>
            </w:pPr>
          </w:p>
          <w:p w14:paraId="5BD99241" w14:textId="77777777" w:rsidR="002919BD" w:rsidRDefault="0000000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ID=</w:t>
            </w:r>
          </w:p>
        </w:tc>
        <w:tc>
          <w:tcPr>
            <w:tcW w:w="4820" w:type="dxa"/>
            <w:tcBorders>
              <w:top w:val="nil"/>
              <w:left w:val="nil"/>
              <w:bottom w:val="single" w:sz="4" w:space="0" w:color="000000"/>
              <w:right w:val="nil"/>
            </w:tcBorders>
          </w:tcPr>
          <w:p w14:paraId="44CCA007" w14:textId="77777777" w:rsidR="002919BD" w:rsidRDefault="0000000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Number of new cases</w:t>
            </w:r>
          </w:p>
        </w:tc>
        <w:tc>
          <w:tcPr>
            <w:tcW w:w="1417" w:type="dxa"/>
            <w:vMerge w:val="restart"/>
            <w:tcBorders>
              <w:top w:val="nil"/>
              <w:left w:val="nil"/>
              <w:bottom w:val="nil"/>
              <w:right w:val="nil"/>
            </w:tcBorders>
          </w:tcPr>
          <w:p w14:paraId="79241344" w14:textId="77777777" w:rsidR="002919BD" w:rsidRDefault="002919BD">
            <w:pPr>
              <w:spacing w:line="240" w:lineRule="auto"/>
              <w:rPr>
                <w:rFonts w:ascii="Times New Roman" w:eastAsia="Times New Roman" w:hAnsi="Times New Roman" w:cs="Times New Roman"/>
                <w:b/>
                <w:sz w:val="28"/>
                <w:szCs w:val="28"/>
              </w:rPr>
            </w:pPr>
          </w:p>
          <w:p w14:paraId="78041907" w14:textId="77777777" w:rsidR="002919BD" w:rsidRDefault="00000000">
            <w:pPr>
              <w:spacing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х10</w:t>
            </w:r>
            <w:r>
              <w:rPr>
                <w:rFonts w:ascii="Times New Roman" w:eastAsia="Times New Roman" w:hAnsi="Times New Roman" w:cs="Times New Roman"/>
                <w:b/>
                <w:sz w:val="28"/>
                <w:szCs w:val="28"/>
                <w:vertAlign w:val="superscript"/>
              </w:rPr>
              <w:t>х</w:t>
            </w:r>
          </w:p>
        </w:tc>
      </w:tr>
      <w:tr w:rsidR="002919BD" w14:paraId="70F62110" w14:textId="77777777">
        <w:trPr>
          <w:trHeight w:val="1048"/>
        </w:trPr>
        <w:tc>
          <w:tcPr>
            <w:tcW w:w="1223" w:type="dxa"/>
            <w:vMerge/>
            <w:tcBorders>
              <w:top w:val="nil"/>
              <w:left w:val="nil"/>
              <w:bottom w:val="nil"/>
              <w:right w:val="nil"/>
            </w:tcBorders>
          </w:tcPr>
          <w:p w14:paraId="6AEF8E34" w14:textId="77777777" w:rsidR="002919BD" w:rsidRDefault="002919BD">
            <w:pPr>
              <w:widowControl w:val="0"/>
              <w:pBdr>
                <w:top w:val="nil"/>
                <w:left w:val="nil"/>
                <w:bottom w:val="nil"/>
                <w:right w:val="nil"/>
                <w:between w:val="nil"/>
              </w:pBdr>
              <w:spacing w:after="0"/>
              <w:rPr>
                <w:rFonts w:ascii="Times New Roman" w:eastAsia="Times New Roman" w:hAnsi="Times New Roman" w:cs="Times New Roman"/>
                <w:sz w:val="28"/>
                <w:szCs w:val="28"/>
              </w:rPr>
            </w:pPr>
          </w:p>
        </w:tc>
        <w:tc>
          <w:tcPr>
            <w:tcW w:w="4820" w:type="dxa"/>
            <w:tcBorders>
              <w:left w:val="nil"/>
              <w:bottom w:val="nil"/>
              <w:right w:val="nil"/>
            </w:tcBorders>
          </w:tcPr>
          <w:p w14:paraId="032F59D4" w14:textId="77777777" w:rsidR="002919BD" w:rsidRDefault="0000000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Sum of risk time</w:t>
            </w:r>
          </w:p>
        </w:tc>
        <w:tc>
          <w:tcPr>
            <w:tcW w:w="1417" w:type="dxa"/>
            <w:vMerge/>
            <w:tcBorders>
              <w:top w:val="nil"/>
              <w:left w:val="nil"/>
              <w:bottom w:val="nil"/>
              <w:right w:val="nil"/>
            </w:tcBorders>
          </w:tcPr>
          <w:p w14:paraId="4A95D416" w14:textId="77777777" w:rsidR="002919BD" w:rsidRDefault="002919BD">
            <w:pPr>
              <w:widowControl w:val="0"/>
              <w:pBdr>
                <w:top w:val="nil"/>
                <w:left w:val="nil"/>
                <w:bottom w:val="nil"/>
                <w:right w:val="nil"/>
                <w:between w:val="nil"/>
              </w:pBdr>
              <w:spacing w:after="0"/>
              <w:rPr>
                <w:rFonts w:ascii="Times New Roman" w:eastAsia="Times New Roman" w:hAnsi="Times New Roman" w:cs="Times New Roman"/>
                <w:b/>
                <w:sz w:val="28"/>
                <w:szCs w:val="28"/>
              </w:rPr>
            </w:pPr>
          </w:p>
        </w:tc>
      </w:tr>
    </w:tbl>
    <w:p w14:paraId="2D5F6830" w14:textId="77777777" w:rsidR="002919BD"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The incidence density can be used to calculate the risk of developing an outcome • The incidence density is preferable to cumulative incidence if the duration of the exposure matters - In the case of short exposures, the incidence density and cumulative incidence are equal • The incidence density allows estimating the incidence in populations whose size varies over time - For cumulative incidence need a fixed population</w:t>
      </w:r>
    </w:p>
    <w:tbl>
      <w:tblPr>
        <w:tblStyle w:val="a1"/>
        <w:tblW w:w="8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4"/>
        <w:gridCol w:w="7079"/>
      </w:tblGrid>
      <w:tr w:rsidR="002919BD" w14:paraId="17E4CD6D" w14:textId="77777777">
        <w:trPr>
          <w:trHeight w:val="309"/>
        </w:trPr>
        <w:tc>
          <w:tcPr>
            <w:tcW w:w="1244" w:type="dxa"/>
            <w:vMerge w:val="restart"/>
            <w:tcBorders>
              <w:top w:val="nil"/>
              <w:left w:val="nil"/>
              <w:bottom w:val="nil"/>
              <w:right w:val="nil"/>
            </w:tcBorders>
          </w:tcPr>
          <w:p w14:paraId="402CB934" w14:textId="77777777" w:rsidR="002919BD" w:rsidRDefault="002919BD">
            <w:pPr>
              <w:rPr>
                <w:rFonts w:ascii="Times New Roman" w:eastAsia="Times New Roman" w:hAnsi="Times New Roman" w:cs="Times New Roman"/>
                <w:b/>
                <w:color w:val="000000"/>
                <w:sz w:val="28"/>
                <w:szCs w:val="28"/>
                <w:highlight w:val="white"/>
              </w:rPr>
            </w:pPr>
          </w:p>
          <w:p w14:paraId="0EC9C979" w14:textId="77777777" w:rsidR="002919BD" w:rsidRDefault="00000000">
            <w:pP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AIR=</w:t>
            </w:r>
          </w:p>
        </w:tc>
        <w:tc>
          <w:tcPr>
            <w:tcW w:w="7079" w:type="dxa"/>
            <w:tcBorders>
              <w:top w:val="nil"/>
              <w:left w:val="nil"/>
              <w:bottom w:val="single" w:sz="4" w:space="0" w:color="000000"/>
              <w:right w:val="nil"/>
            </w:tcBorders>
          </w:tcPr>
          <w:p w14:paraId="6E42E8AB" w14:textId="77777777" w:rsidR="002919BD" w:rsidRDefault="00000000">
            <w:pP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CI</w:t>
            </w:r>
          </w:p>
        </w:tc>
      </w:tr>
      <w:tr w:rsidR="002919BD" w14:paraId="638B246D" w14:textId="77777777">
        <w:trPr>
          <w:trHeight w:val="309"/>
        </w:trPr>
        <w:tc>
          <w:tcPr>
            <w:tcW w:w="1244" w:type="dxa"/>
            <w:vMerge/>
            <w:tcBorders>
              <w:top w:val="nil"/>
              <w:left w:val="nil"/>
              <w:bottom w:val="nil"/>
              <w:right w:val="nil"/>
            </w:tcBorders>
          </w:tcPr>
          <w:p w14:paraId="3FA99841" w14:textId="77777777" w:rsidR="002919BD" w:rsidRDefault="002919BD">
            <w:pPr>
              <w:widowControl w:val="0"/>
              <w:pBdr>
                <w:top w:val="nil"/>
                <w:left w:val="nil"/>
                <w:bottom w:val="nil"/>
                <w:right w:val="nil"/>
                <w:between w:val="nil"/>
              </w:pBdr>
              <w:spacing w:after="0"/>
              <w:rPr>
                <w:rFonts w:ascii="Times New Roman" w:eastAsia="Times New Roman" w:hAnsi="Times New Roman" w:cs="Times New Roman"/>
                <w:b/>
                <w:color w:val="000000"/>
                <w:sz w:val="28"/>
                <w:szCs w:val="28"/>
                <w:highlight w:val="white"/>
              </w:rPr>
            </w:pPr>
          </w:p>
        </w:tc>
        <w:tc>
          <w:tcPr>
            <w:tcW w:w="7079" w:type="dxa"/>
            <w:tcBorders>
              <w:left w:val="nil"/>
              <w:bottom w:val="nil"/>
              <w:right w:val="nil"/>
            </w:tcBorders>
          </w:tcPr>
          <w:p w14:paraId="6842BE4B" w14:textId="77777777" w:rsidR="002919BD" w:rsidRDefault="00000000">
            <w:pP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Study period</w:t>
            </w:r>
          </w:p>
        </w:tc>
      </w:tr>
    </w:tbl>
    <w:p w14:paraId="6C0159FD" w14:textId="77777777" w:rsidR="002919BD" w:rsidRDefault="00000000">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highlight w:val="white"/>
        </w:rPr>
        <w:t>The average incidence rate</w:t>
      </w:r>
    </w:p>
    <w:p w14:paraId="0AE62A70"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3AF6B0FA"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24F039B1"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2EE21118"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31B69EBC"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45F4640B"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4BAEDA5A"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0DFB9F2B"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0915DA63" w14:textId="77777777" w:rsidR="002919BD" w:rsidRDefault="002919BD">
      <w:pPr>
        <w:pBdr>
          <w:top w:val="nil"/>
          <w:left w:val="nil"/>
          <w:bottom w:val="nil"/>
          <w:right w:val="nil"/>
          <w:between w:val="nil"/>
        </w:pBdr>
        <w:shd w:val="clear" w:color="auto" w:fill="FFFFFF"/>
        <w:spacing w:after="0" w:line="240" w:lineRule="auto"/>
        <w:ind w:firstLine="709"/>
        <w:rPr>
          <w:rFonts w:ascii="Times New Roman" w:eastAsia="Times New Roman" w:hAnsi="Times New Roman" w:cs="Times New Roman"/>
          <w:i/>
          <w:color w:val="000000"/>
          <w:sz w:val="28"/>
          <w:szCs w:val="28"/>
        </w:rPr>
      </w:pPr>
    </w:p>
    <w:p w14:paraId="2667D06C" w14:textId="77777777" w:rsidR="002919BD" w:rsidRDefault="00000000">
      <w:pPr>
        <w:pBdr>
          <w:top w:val="nil"/>
          <w:left w:val="nil"/>
          <w:bottom w:val="nil"/>
          <w:right w:val="nil"/>
          <w:between w:val="nil"/>
        </w:pBdr>
        <w:shd w:val="clear" w:color="auto" w:fill="FFFFFF"/>
        <w:spacing w:before="280" w:after="280" w:line="240" w:lineRule="auto"/>
        <w:ind w:firstLine="709"/>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Tasks for the section "Analysis of incidence according to epidemiological studies"</w:t>
      </w:r>
    </w:p>
    <w:p w14:paraId="77B38B82" w14:textId="77777777" w:rsidR="002919BD" w:rsidRDefault="002919BD">
      <w:pPr>
        <w:pBdr>
          <w:top w:val="nil"/>
          <w:left w:val="nil"/>
          <w:bottom w:val="nil"/>
          <w:right w:val="nil"/>
          <w:between w:val="nil"/>
        </w:pBdr>
        <w:shd w:val="clear" w:color="auto" w:fill="FFFFFF"/>
        <w:spacing w:before="280" w:after="280" w:line="240" w:lineRule="auto"/>
        <w:ind w:firstLine="709"/>
        <w:rPr>
          <w:rFonts w:ascii="Times New Roman" w:eastAsia="Times New Roman" w:hAnsi="Times New Roman" w:cs="Times New Roman"/>
          <w:i/>
          <w:color w:val="000000"/>
          <w:sz w:val="28"/>
          <w:szCs w:val="28"/>
        </w:rPr>
      </w:pPr>
    </w:p>
    <w:p w14:paraId="3DFBF6FC" w14:textId="77777777" w:rsidR="002919BD" w:rsidRDefault="00000000">
      <w:pPr>
        <w:numPr>
          <w:ilvl w:val="0"/>
          <w:numId w:val="1"/>
        </w:numPr>
        <w:spacing w:before="280" w:after="0" w:line="240" w:lineRule="auto"/>
        <w:jc w:val="both"/>
      </w:pPr>
      <w:r>
        <w:rPr>
          <w:rFonts w:ascii="Times New Roman" w:eastAsia="Times New Roman" w:hAnsi="Times New Roman" w:cs="Times New Roman"/>
          <w:sz w:val="28"/>
          <w:szCs w:val="28"/>
        </w:rPr>
        <w:t>For the analysis of the incidence according to epidemiological studies, various indicators are used, for the calculation and interpretation of which a set of tasks is developed and adapted based on various publications [Introduction to Applied Epidemiology and Biostatistics</w:t>
      </w:r>
      <w:r>
        <w:rPr>
          <w:i/>
          <w:sz w:val="28"/>
          <w:szCs w:val="28"/>
        </w:rPr>
        <w:t xml:space="preserve">  </w:t>
      </w:r>
      <w:hyperlink r:id="rId7">
        <w:r>
          <w:rPr>
            <w:color w:val="0000FF"/>
            <w:sz w:val="20"/>
            <w:szCs w:val="20"/>
            <w:u w:val="single"/>
          </w:rPr>
          <w:t>https://www.cdc.gov/csels/dsepd/ss1978/lesson3/index.html</w:t>
        </w:r>
      </w:hyperlink>
      <w:r>
        <w:rPr>
          <w:color w:val="000000"/>
          <w:sz w:val="20"/>
          <w:szCs w:val="20"/>
        </w:rPr>
        <w:t xml:space="preserve">; </w:t>
      </w:r>
      <w:hyperlink r:id="rId8">
        <w:r>
          <w:rPr>
            <w:color w:val="0000FF"/>
            <w:sz w:val="20"/>
            <w:szCs w:val="20"/>
            <w:u w:val="single"/>
          </w:rPr>
          <w:t>http://sphweb.bumc.bu.edu/otlt/MPH-Modules/EP/EP713_DiseaseFrequency/EP713_DiseaseFrequency_print.html</w:t>
        </w:r>
      </w:hyperlink>
      <w:r>
        <w:rPr>
          <w:sz w:val="20"/>
          <w:szCs w:val="20"/>
        </w:rPr>
        <w:t xml:space="preserve">;  </w:t>
      </w:r>
      <w:hyperlink r:id="rId9">
        <w:r>
          <w:rPr>
            <w:color w:val="0000FF"/>
            <w:sz w:val="20"/>
            <w:szCs w:val="20"/>
            <w:u w:val="single"/>
          </w:rPr>
          <w:t>https://www.cdc.gov/csels/dsepd</w:t>
        </w:r>
      </w:hyperlink>
      <w:hyperlink r:id="rId10">
        <w:r>
          <w:rPr>
            <w:color w:val="0000FF"/>
            <w:sz w:val="28"/>
            <w:szCs w:val="28"/>
            <w:u w:val="single"/>
          </w:rPr>
          <w:t>/</w:t>
        </w:r>
      </w:hyperlink>
      <w:r>
        <w:t>].</w:t>
      </w:r>
      <w:r>
        <w:br/>
      </w:r>
      <w:r>
        <w:br/>
      </w:r>
      <w:r>
        <w:rPr>
          <w:rFonts w:ascii="Times New Roman" w:eastAsia="Times New Roman" w:hAnsi="Times New Roman" w:cs="Times New Roman"/>
          <w:sz w:val="28"/>
          <w:szCs w:val="28"/>
        </w:rPr>
        <w:t>Examples of solving the problem:</w:t>
      </w:r>
    </w:p>
    <w:p w14:paraId="063EE5A9" w14:textId="77777777" w:rsidR="002919BD" w:rsidRDefault="00000000">
      <w:pPr>
        <w:numPr>
          <w:ilvl w:val="0"/>
          <w:numId w:val="1"/>
        </w:numPr>
        <w:spacing w:after="0" w:line="240" w:lineRule="auto"/>
        <w:jc w:val="both"/>
      </w:pPr>
      <w:r>
        <w:rPr>
          <w:rFonts w:ascii="Times New Roman" w:eastAsia="Times New Roman" w:hAnsi="Times New Roman" w:cs="Times New Roman"/>
          <w:sz w:val="28"/>
          <w:szCs w:val="28"/>
        </w:rPr>
        <w:t>In January 2010, 1010 young people were invited to participate in a 10-year prospective study to determine their risk of developing type I diabetes. This group underwent an initial blood test to determine if they had diabetes or not. Participants were retested annually over the next 10 years. From the group of young people who joined the study:</w:t>
      </w:r>
    </w:p>
    <w:p w14:paraId="35FD3C24" w14:textId="77777777" w:rsidR="002919BD" w:rsidRDefault="00000000">
      <w:pPr>
        <w:numPr>
          <w:ilvl w:val="0"/>
          <w:numId w:val="1"/>
        </w:numPr>
        <w:spacing w:after="0" w:line="240" w:lineRule="auto"/>
        <w:jc w:val="both"/>
      </w:pPr>
      <w:r>
        <w:rPr>
          <w:rFonts w:ascii="Times New Roman" w:eastAsia="Times New Roman" w:hAnsi="Times New Roman" w:cs="Times New Roman"/>
          <w:sz w:val="28"/>
          <w:szCs w:val="28"/>
        </w:rPr>
        <w:t>• no one was diagnosed with diabetes in the initial blood screening</w:t>
      </w:r>
    </w:p>
    <w:p w14:paraId="4EF91050" w14:textId="77777777" w:rsidR="002919BD" w:rsidRDefault="00000000">
      <w:pPr>
        <w:numPr>
          <w:ilvl w:val="0"/>
          <w:numId w:val="1"/>
        </w:numPr>
        <w:spacing w:after="0" w:line="240" w:lineRule="auto"/>
        <w:jc w:val="both"/>
      </w:pPr>
      <w:r>
        <w:rPr>
          <w:rFonts w:ascii="Times New Roman" w:eastAsia="Times New Roman" w:hAnsi="Times New Roman" w:cs="Times New Roman"/>
          <w:sz w:val="28"/>
          <w:szCs w:val="28"/>
        </w:rPr>
        <w:t>• 1000 people remained disease free for all 10 years of the study</w:t>
      </w:r>
    </w:p>
    <w:p w14:paraId="43F3A1BB" w14:textId="77777777" w:rsidR="002919BD" w:rsidRDefault="00000000">
      <w:pPr>
        <w:numPr>
          <w:ilvl w:val="0"/>
          <w:numId w:val="1"/>
        </w:numPr>
        <w:spacing w:after="0" w:line="240" w:lineRule="auto"/>
        <w:jc w:val="both"/>
      </w:pPr>
      <w:r>
        <w:rPr>
          <w:rFonts w:ascii="Times New Roman" w:eastAsia="Times New Roman" w:hAnsi="Times New Roman" w:cs="Times New Roman"/>
          <w:sz w:val="28"/>
          <w:szCs w:val="28"/>
        </w:rPr>
        <w:t>• during the study, 6 people developed diabetes at the time indicated in the table below.</w:t>
      </w:r>
    </w:p>
    <w:p w14:paraId="74906683" w14:textId="77777777" w:rsidR="002919BD" w:rsidRDefault="00000000">
      <w:pPr>
        <w:numPr>
          <w:ilvl w:val="0"/>
          <w:numId w:val="1"/>
        </w:numPr>
        <w:spacing w:after="280" w:line="240" w:lineRule="auto"/>
        <w:jc w:val="both"/>
        <w:rPr>
          <w:color w:val="000000"/>
        </w:rPr>
      </w:pPr>
      <w:r>
        <w:rPr>
          <w:rFonts w:ascii="Times New Roman" w:eastAsia="Times New Roman" w:hAnsi="Times New Roman" w:cs="Times New Roman"/>
          <w:sz w:val="28"/>
          <w:szCs w:val="28"/>
        </w:rPr>
        <w:t>• 2 people who were initially free from disease were lost for observation during the study at the time indicated in the table below</w:t>
      </w:r>
    </w:p>
    <w:tbl>
      <w:tblPr>
        <w:tblStyle w:val="a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
        <w:gridCol w:w="957"/>
        <w:gridCol w:w="957"/>
        <w:gridCol w:w="957"/>
        <w:gridCol w:w="957"/>
        <w:gridCol w:w="957"/>
        <w:gridCol w:w="957"/>
        <w:gridCol w:w="957"/>
        <w:gridCol w:w="816"/>
        <w:gridCol w:w="992"/>
      </w:tblGrid>
      <w:tr w:rsidR="002919BD" w14:paraId="179E5937" w14:textId="77777777">
        <w:tc>
          <w:tcPr>
            <w:tcW w:w="957" w:type="dxa"/>
          </w:tcPr>
          <w:p w14:paraId="62B998CA"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2010</w:t>
            </w:r>
          </w:p>
        </w:tc>
        <w:tc>
          <w:tcPr>
            <w:tcW w:w="957" w:type="dxa"/>
          </w:tcPr>
          <w:p w14:paraId="05275820"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2011</w:t>
            </w:r>
          </w:p>
        </w:tc>
        <w:tc>
          <w:tcPr>
            <w:tcW w:w="957" w:type="dxa"/>
          </w:tcPr>
          <w:p w14:paraId="516C75D4"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2012</w:t>
            </w:r>
          </w:p>
        </w:tc>
        <w:tc>
          <w:tcPr>
            <w:tcW w:w="957" w:type="dxa"/>
          </w:tcPr>
          <w:p w14:paraId="48F11451"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2013</w:t>
            </w:r>
          </w:p>
        </w:tc>
        <w:tc>
          <w:tcPr>
            <w:tcW w:w="957" w:type="dxa"/>
          </w:tcPr>
          <w:p w14:paraId="63A53A25"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2014</w:t>
            </w:r>
          </w:p>
        </w:tc>
        <w:tc>
          <w:tcPr>
            <w:tcW w:w="957" w:type="dxa"/>
          </w:tcPr>
          <w:p w14:paraId="54B48BA9"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2015</w:t>
            </w:r>
          </w:p>
        </w:tc>
        <w:tc>
          <w:tcPr>
            <w:tcW w:w="957" w:type="dxa"/>
          </w:tcPr>
          <w:p w14:paraId="2D5EB3A7"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2016</w:t>
            </w:r>
          </w:p>
        </w:tc>
        <w:tc>
          <w:tcPr>
            <w:tcW w:w="957" w:type="dxa"/>
          </w:tcPr>
          <w:p w14:paraId="251EDEAB"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2017</w:t>
            </w:r>
          </w:p>
        </w:tc>
        <w:tc>
          <w:tcPr>
            <w:tcW w:w="816" w:type="dxa"/>
          </w:tcPr>
          <w:p w14:paraId="2C510729"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2018</w:t>
            </w:r>
          </w:p>
        </w:tc>
        <w:tc>
          <w:tcPr>
            <w:tcW w:w="992" w:type="dxa"/>
          </w:tcPr>
          <w:p w14:paraId="3B8C7CD9" w14:textId="77777777" w:rsidR="002919BD"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2019</w:t>
            </w:r>
          </w:p>
        </w:tc>
      </w:tr>
      <w:tr w:rsidR="002919BD" w14:paraId="728EFF49" w14:textId="77777777">
        <w:tc>
          <w:tcPr>
            <w:tcW w:w="957" w:type="dxa"/>
          </w:tcPr>
          <w:p w14:paraId="30D1584A"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6A34E965"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0AEAB1B8"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68B09424" w14:textId="77777777" w:rsidR="002919BD" w:rsidRDefault="002919BD">
            <w:pPr>
              <w:jc w:val="center"/>
              <w:rPr>
                <w:rFonts w:ascii="Times New Roman" w:eastAsia="Times New Roman" w:hAnsi="Times New Roman" w:cs="Times New Roman"/>
                <w:sz w:val="28"/>
                <w:szCs w:val="28"/>
              </w:rPr>
            </w:pPr>
          </w:p>
        </w:tc>
        <w:tc>
          <w:tcPr>
            <w:tcW w:w="957" w:type="dxa"/>
          </w:tcPr>
          <w:p w14:paraId="59302109" w14:textId="77777777" w:rsidR="002919BD" w:rsidRDefault="002919BD">
            <w:pPr>
              <w:jc w:val="center"/>
              <w:rPr>
                <w:rFonts w:ascii="Times New Roman" w:eastAsia="Times New Roman" w:hAnsi="Times New Roman" w:cs="Times New Roman"/>
                <w:sz w:val="28"/>
                <w:szCs w:val="28"/>
              </w:rPr>
            </w:pPr>
          </w:p>
        </w:tc>
        <w:tc>
          <w:tcPr>
            <w:tcW w:w="957" w:type="dxa"/>
          </w:tcPr>
          <w:p w14:paraId="26704F0E" w14:textId="77777777" w:rsidR="002919BD" w:rsidRDefault="002919BD">
            <w:pPr>
              <w:jc w:val="center"/>
              <w:rPr>
                <w:rFonts w:ascii="Times New Roman" w:eastAsia="Times New Roman" w:hAnsi="Times New Roman" w:cs="Times New Roman"/>
                <w:sz w:val="28"/>
                <w:szCs w:val="28"/>
              </w:rPr>
            </w:pPr>
          </w:p>
        </w:tc>
        <w:tc>
          <w:tcPr>
            <w:tcW w:w="957" w:type="dxa"/>
          </w:tcPr>
          <w:p w14:paraId="3D959E6F" w14:textId="77777777" w:rsidR="002919BD" w:rsidRDefault="002919BD">
            <w:pPr>
              <w:jc w:val="center"/>
              <w:rPr>
                <w:rFonts w:ascii="Times New Roman" w:eastAsia="Times New Roman" w:hAnsi="Times New Roman" w:cs="Times New Roman"/>
                <w:sz w:val="28"/>
                <w:szCs w:val="28"/>
              </w:rPr>
            </w:pPr>
          </w:p>
        </w:tc>
        <w:tc>
          <w:tcPr>
            <w:tcW w:w="957" w:type="dxa"/>
          </w:tcPr>
          <w:p w14:paraId="2FEBD3B4" w14:textId="77777777" w:rsidR="002919BD" w:rsidRDefault="002919BD">
            <w:pPr>
              <w:jc w:val="center"/>
              <w:rPr>
                <w:rFonts w:ascii="Times New Roman" w:eastAsia="Times New Roman" w:hAnsi="Times New Roman" w:cs="Times New Roman"/>
                <w:sz w:val="28"/>
                <w:szCs w:val="28"/>
              </w:rPr>
            </w:pPr>
          </w:p>
        </w:tc>
        <w:tc>
          <w:tcPr>
            <w:tcW w:w="816" w:type="dxa"/>
          </w:tcPr>
          <w:p w14:paraId="05256FE5" w14:textId="77777777" w:rsidR="002919BD" w:rsidRDefault="002919BD">
            <w:pPr>
              <w:jc w:val="center"/>
              <w:rPr>
                <w:rFonts w:ascii="Times New Roman" w:eastAsia="Times New Roman" w:hAnsi="Times New Roman" w:cs="Times New Roman"/>
                <w:sz w:val="28"/>
                <w:szCs w:val="28"/>
              </w:rPr>
            </w:pPr>
          </w:p>
        </w:tc>
        <w:tc>
          <w:tcPr>
            <w:tcW w:w="992" w:type="dxa"/>
          </w:tcPr>
          <w:p w14:paraId="08424CF5" w14:textId="77777777" w:rsidR="002919BD" w:rsidRDefault="002919BD">
            <w:pPr>
              <w:jc w:val="center"/>
              <w:rPr>
                <w:rFonts w:ascii="Times New Roman" w:eastAsia="Times New Roman" w:hAnsi="Times New Roman" w:cs="Times New Roman"/>
                <w:sz w:val="28"/>
                <w:szCs w:val="28"/>
              </w:rPr>
            </w:pPr>
          </w:p>
        </w:tc>
      </w:tr>
      <w:tr w:rsidR="002919BD" w14:paraId="4BBE346B" w14:textId="77777777">
        <w:tc>
          <w:tcPr>
            <w:tcW w:w="957" w:type="dxa"/>
          </w:tcPr>
          <w:p w14:paraId="72E47AC5"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4246BD18"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2ED1205B"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27D30659"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65A73C27"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5BBB8A5E"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4B82F0F"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68F23667"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816" w:type="dxa"/>
          </w:tcPr>
          <w:p w14:paraId="2F1DF319"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92" w:type="dxa"/>
          </w:tcPr>
          <w:p w14:paraId="2B03CC37"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2919BD" w14:paraId="4E2528C2" w14:textId="77777777">
        <w:tc>
          <w:tcPr>
            <w:tcW w:w="957" w:type="dxa"/>
          </w:tcPr>
          <w:p w14:paraId="5AEDCFED"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704E95E1"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11D8D054"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5BCD618"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786E3DAB"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3840B8FD"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2605A318"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14E99C0"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816" w:type="dxa"/>
          </w:tcPr>
          <w:p w14:paraId="7F6D1FE8" w14:textId="77777777" w:rsidR="002919BD" w:rsidRDefault="002919BD">
            <w:pPr>
              <w:jc w:val="center"/>
              <w:rPr>
                <w:rFonts w:ascii="Times New Roman" w:eastAsia="Times New Roman" w:hAnsi="Times New Roman" w:cs="Times New Roman"/>
                <w:sz w:val="28"/>
                <w:szCs w:val="28"/>
              </w:rPr>
            </w:pPr>
          </w:p>
        </w:tc>
        <w:tc>
          <w:tcPr>
            <w:tcW w:w="992" w:type="dxa"/>
          </w:tcPr>
          <w:p w14:paraId="186DFA39" w14:textId="77777777" w:rsidR="002919BD" w:rsidRDefault="002919BD">
            <w:pPr>
              <w:jc w:val="center"/>
              <w:rPr>
                <w:rFonts w:ascii="Times New Roman" w:eastAsia="Times New Roman" w:hAnsi="Times New Roman" w:cs="Times New Roman"/>
                <w:sz w:val="28"/>
                <w:szCs w:val="28"/>
              </w:rPr>
            </w:pPr>
          </w:p>
        </w:tc>
      </w:tr>
      <w:tr w:rsidR="002919BD" w14:paraId="10F01A63" w14:textId="77777777">
        <w:tc>
          <w:tcPr>
            <w:tcW w:w="957" w:type="dxa"/>
          </w:tcPr>
          <w:p w14:paraId="02998255"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5629A0EA"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160F0708" w14:textId="77777777" w:rsidR="002919BD" w:rsidRDefault="002919BD">
            <w:pPr>
              <w:jc w:val="center"/>
              <w:rPr>
                <w:rFonts w:ascii="Times New Roman" w:eastAsia="Times New Roman" w:hAnsi="Times New Roman" w:cs="Times New Roman"/>
                <w:sz w:val="28"/>
                <w:szCs w:val="28"/>
              </w:rPr>
            </w:pPr>
          </w:p>
        </w:tc>
        <w:tc>
          <w:tcPr>
            <w:tcW w:w="957" w:type="dxa"/>
          </w:tcPr>
          <w:p w14:paraId="598D761A" w14:textId="77777777" w:rsidR="002919BD" w:rsidRDefault="002919BD">
            <w:pPr>
              <w:jc w:val="center"/>
              <w:rPr>
                <w:rFonts w:ascii="Times New Roman" w:eastAsia="Times New Roman" w:hAnsi="Times New Roman" w:cs="Times New Roman"/>
                <w:sz w:val="28"/>
                <w:szCs w:val="28"/>
              </w:rPr>
            </w:pPr>
          </w:p>
        </w:tc>
        <w:tc>
          <w:tcPr>
            <w:tcW w:w="957" w:type="dxa"/>
          </w:tcPr>
          <w:p w14:paraId="22F8A621" w14:textId="77777777" w:rsidR="002919BD" w:rsidRDefault="002919BD">
            <w:pPr>
              <w:jc w:val="center"/>
              <w:rPr>
                <w:rFonts w:ascii="Times New Roman" w:eastAsia="Times New Roman" w:hAnsi="Times New Roman" w:cs="Times New Roman"/>
                <w:sz w:val="28"/>
                <w:szCs w:val="28"/>
              </w:rPr>
            </w:pPr>
          </w:p>
        </w:tc>
        <w:tc>
          <w:tcPr>
            <w:tcW w:w="957" w:type="dxa"/>
          </w:tcPr>
          <w:p w14:paraId="3809FBEF" w14:textId="77777777" w:rsidR="002919BD" w:rsidRDefault="002919BD">
            <w:pPr>
              <w:jc w:val="center"/>
              <w:rPr>
                <w:rFonts w:ascii="Times New Roman" w:eastAsia="Times New Roman" w:hAnsi="Times New Roman" w:cs="Times New Roman"/>
                <w:sz w:val="28"/>
                <w:szCs w:val="28"/>
              </w:rPr>
            </w:pPr>
          </w:p>
        </w:tc>
        <w:tc>
          <w:tcPr>
            <w:tcW w:w="957" w:type="dxa"/>
          </w:tcPr>
          <w:p w14:paraId="7212BF49" w14:textId="77777777" w:rsidR="002919BD" w:rsidRDefault="002919BD">
            <w:pPr>
              <w:jc w:val="center"/>
              <w:rPr>
                <w:rFonts w:ascii="Times New Roman" w:eastAsia="Times New Roman" w:hAnsi="Times New Roman" w:cs="Times New Roman"/>
                <w:sz w:val="28"/>
                <w:szCs w:val="28"/>
              </w:rPr>
            </w:pPr>
          </w:p>
        </w:tc>
        <w:tc>
          <w:tcPr>
            <w:tcW w:w="957" w:type="dxa"/>
          </w:tcPr>
          <w:p w14:paraId="54414DF4" w14:textId="77777777" w:rsidR="002919BD" w:rsidRDefault="002919BD">
            <w:pPr>
              <w:jc w:val="center"/>
              <w:rPr>
                <w:rFonts w:ascii="Times New Roman" w:eastAsia="Times New Roman" w:hAnsi="Times New Roman" w:cs="Times New Roman"/>
                <w:sz w:val="28"/>
                <w:szCs w:val="28"/>
              </w:rPr>
            </w:pPr>
          </w:p>
        </w:tc>
        <w:tc>
          <w:tcPr>
            <w:tcW w:w="816" w:type="dxa"/>
          </w:tcPr>
          <w:p w14:paraId="68585BFC" w14:textId="77777777" w:rsidR="002919BD" w:rsidRDefault="002919BD">
            <w:pPr>
              <w:jc w:val="center"/>
              <w:rPr>
                <w:rFonts w:ascii="Times New Roman" w:eastAsia="Times New Roman" w:hAnsi="Times New Roman" w:cs="Times New Roman"/>
                <w:sz w:val="28"/>
                <w:szCs w:val="28"/>
              </w:rPr>
            </w:pPr>
          </w:p>
        </w:tc>
        <w:tc>
          <w:tcPr>
            <w:tcW w:w="992" w:type="dxa"/>
          </w:tcPr>
          <w:p w14:paraId="20CDC44A" w14:textId="77777777" w:rsidR="002919BD" w:rsidRDefault="002919BD">
            <w:pPr>
              <w:jc w:val="center"/>
              <w:rPr>
                <w:rFonts w:ascii="Times New Roman" w:eastAsia="Times New Roman" w:hAnsi="Times New Roman" w:cs="Times New Roman"/>
                <w:sz w:val="28"/>
                <w:szCs w:val="28"/>
              </w:rPr>
            </w:pPr>
          </w:p>
        </w:tc>
      </w:tr>
      <w:tr w:rsidR="002919BD" w14:paraId="06506183" w14:textId="77777777">
        <w:tc>
          <w:tcPr>
            <w:tcW w:w="957" w:type="dxa"/>
          </w:tcPr>
          <w:p w14:paraId="6630F0B9"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7E8FE236"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70E63F3B"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C149FF6"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E497F00"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749A0CA5" w14:textId="77777777" w:rsidR="002919BD" w:rsidRDefault="002919BD">
            <w:pPr>
              <w:jc w:val="center"/>
              <w:rPr>
                <w:rFonts w:ascii="Times New Roman" w:eastAsia="Times New Roman" w:hAnsi="Times New Roman" w:cs="Times New Roman"/>
                <w:sz w:val="28"/>
                <w:szCs w:val="28"/>
              </w:rPr>
            </w:pPr>
          </w:p>
        </w:tc>
        <w:tc>
          <w:tcPr>
            <w:tcW w:w="957" w:type="dxa"/>
          </w:tcPr>
          <w:p w14:paraId="54E41A7D" w14:textId="77777777" w:rsidR="002919BD" w:rsidRDefault="002919BD">
            <w:pPr>
              <w:jc w:val="center"/>
              <w:rPr>
                <w:rFonts w:ascii="Times New Roman" w:eastAsia="Times New Roman" w:hAnsi="Times New Roman" w:cs="Times New Roman"/>
                <w:sz w:val="28"/>
                <w:szCs w:val="28"/>
              </w:rPr>
            </w:pPr>
          </w:p>
        </w:tc>
        <w:tc>
          <w:tcPr>
            <w:tcW w:w="957" w:type="dxa"/>
          </w:tcPr>
          <w:p w14:paraId="4DD913B0" w14:textId="77777777" w:rsidR="002919BD" w:rsidRDefault="002919BD">
            <w:pPr>
              <w:jc w:val="center"/>
              <w:rPr>
                <w:rFonts w:ascii="Times New Roman" w:eastAsia="Times New Roman" w:hAnsi="Times New Roman" w:cs="Times New Roman"/>
                <w:sz w:val="28"/>
                <w:szCs w:val="28"/>
              </w:rPr>
            </w:pPr>
          </w:p>
        </w:tc>
        <w:tc>
          <w:tcPr>
            <w:tcW w:w="816" w:type="dxa"/>
          </w:tcPr>
          <w:p w14:paraId="1BD51E75" w14:textId="77777777" w:rsidR="002919BD" w:rsidRDefault="002919BD">
            <w:pPr>
              <w:jc w:val="center"/>
              <w:rPr>
                <w:rFonts w:ascii="Times New Roman" w:eastAsia="Times New Roman" w:hAnsi="Times New Roman" w:cs="Times New Roman"/>
                <w:sz w:val="28"/>
                <w:szCs w:val="28"/>
              </w:rPr>
            </w:pPr>
          </w:p>
        </w:tc>
        <w:tc>
          <w:tcPr>
            <w:tcW w:w="992" w:type="dxa"/>
          </w:tcPr>
          <w:p w14:paraId="59FE27F9" w14:textId="77777777" w:rsidR="002919BD" w:rsidRDefault="002919BD">
            <w:pPr>
              <w:jc w:val="center"/>
              <w:rPr>
                <w:rFonts w:ascii="Times New Roman" w:eastAsia="Times New Roman" w:hAnsi="Times New Roman" w:cs="Times New Roman"/>
                <w:sz w:val="28"/>
                <w:szCs w:val="28"/>
              </w:rPr>
            </w:pPr>
          </w:p>
        </w:tc>
      </w:tr>
      <w:tr w:rsidR="002919BD" w14:paraId="5D123EF9" w14:textId="77777777">
        <w:tc>
          <w:tcPr>
            <w:tcW w:w="957" w:type="dxa"/>
          </w:tcPr>
          <w:p w14:paraId="54B9A133"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706A0DB9"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2F9D5723"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4224A6F7" w14:textId="77777777" w:rsidR="002919BD" w:rsidRDefault="002919BD">
            <w:pPr>
              <w:jc w:val="center"/>
              <w:rPr>
                <w:rFonts w:ascii="Times New Roman" w:eastAsia="Times New Roman" w:hAnsi="Times New Roman" w:cs="Times New Roman"/>
                <w:sz w:val="28"/>
                <w:szCs w:val="28"/>
              </w:rPr>
            </w:pPr>
          </w:p>
        </w:tc>
        <w:tc>
          <w:tcPr>
            <w:tcW w:w="957" w:type="dxa"/>
          </w:tcPr>
          <w:p w14:paraId="132635FD" w14:textId="77777777" w:rsidR="002919BD" w:rsidRDefault="002919BD">
            <w:pPr>
              <w:jc w:val="center"/>
              <w:rPr>
                <w:rFonts w:ascii="Times New Roman" w:eastAsia="Times New Roman" w:hAnsi="Times New Roman" w:cs="Times New Roman"/>
                <w:sz w:val="28"/>
                <w:szCs w:val="28"/>
              </w:rPr>
            </w:pPr>
          </w:p>
        </w:tc>
        <w:tc>
          <w:tcPr>
            <w:tcW w:w="957" w:type="dxa"/>
          </w:tcPr>
          <w:p w14:paraId="3BF1DFBC" w14:textId="77777777" w:rsidR="002919BD" w:rsidRDefault="002919BD">
            <w:pPr>
              <w:jc w:val="center"/>
              <w:rPr>
                <w:rFonts w:ascii="Times New Roman" w:eastAsia="Times New Roman" w:hAnsi="Times New Roman" w:cs="Times New Roman"/>
                <w:sz w:val="28"/>
                <w:szCs w:val="28"/>
              </w:rPr>
            </w:pPr>
          </w:p>
        </w:tc>
        <w:tc>
          <w:tcPr>
            <w:tcW w:w="957" w:type="dxa"/>
          </w:tcPr>
          <w:p w14:paraId="49210B4F" w14:textId="77777777" w:rsidR="002919BD" w:rsidRDefault="002919BD">
            <w:pPr>
              <w:jc w:val="center"/>
              <w:rPr>
                <w:rFonts w:ascii="Times New Roman" w:eastAsia="Times New Roman" w:hAnsi="Times New Roman" w:cs="Times New Roman"/>
                <w:sz w:val="28"/>
                <w:szCs w:val="28"/>
              </w:rPr>
            </w:pPr>
          </w:p>
        </w:tc>
        <w:tc>
          <w:tcPr>
            <w:tcW w:w="957" w:type="dxa"/>
          </w:tcPr>
          <w:p w14:paraId="13BBB1A4" w14:textId="77777777" w:rsidR="002919BD" w:rsidRDefault="002919BD">
            <w:pPr>
              <w:jc w:val="center"/>
              <w:rPr>
                <w:rFonts w:ascii="Times New Roman" w:eastAsia="Times New Roman" w:hAnsi="Times New Roman" w:cs="Times New Roman"/>
                <w:sz w:val="28"/>
                <w:szCs w:val="28"/>
              </w:rPr>
            </w:pPr>
          </w:p>
        </w:tc>
        <w:tc>
          <w:tcPr>
            <w:tcW w:w="816" w:type="dxa"/>
          </w:tcPr>
          <w:p w14:paraId="229A8F30" w14:textId="77777777" w:rsidR="002919BD" w:rsidRDefault="002919BD">
            <w:pPr>
              <w:jc w:val="center"/>
              <w:rPr>
                <w:rFonts w:ascii="Times New Roman" w:eastAsia="Times New Roman" w:hAnsi="Times New Roman" w:cs="Times New Roman"/>
                <w:sz w:val="28"/>
                <w:szCs w:val="28"/>
              </w:rPr>
            </w:pPr>
          </w:p>
        </w:tc>
        <w:tc>
          <w:tcPr>
            <w:tcW w:w="992" w:type="dxa"/>
          </w:tcPr>
          <w:p w14:paraId="1E73D72B" w14:textId="77777777" w:rsidR="002919BD" w:rsidRDefault="002919BD">
            <w:pPr>
              <w:jc w:val="center"/>
              <w:rPr>
                <w:rFonts w:ascii="Times New Roman" w:eastAsia="Times New Roman" w:hAnsi="Times New Roman" w:cs="Times New Roman"/>
                <w:sz w:val="28"/>
                <w:szCs w:val="28"/>
              </w:rPr>
            </w:pPr>
          </w:p>
        </w:tc>
      </w:tr>
      <w:tr w:rsidR="002919BD" w14:paraId="08AB211D" w14:textId="77777777">
        <w:tc>
          <w:tcPr>
            <w:tcW w:w="957" w:type="dxa"/>
          </w:tcPr>
          <w:p w14:paraId="2006B2B2"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t>------</w:t>
            </w:r>
          </w:p>
        </w:tc>
        <w:tc>
          <w:tcPr>
            <w:tcW w:w="957" w:type="dxa"/>
          </w:tcPr>
          <w:p w14:paraId="3C022125"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38BE510C"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78381392"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1A53BC8E"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19755873" w14:textId="77777777" w:rsidR="002919BD" w:rsidRDefault="002919BD">
            <w:pPr>
              <w:jc w:val="center"/>
              <w:rPr>
                <w:rFonts w:ascii="Times New Roman" w:eastAsia="Times New Roman" w:hAnsi="Times New Roman" w:cs="Times New Roman"/>
                <w:sz w:val="28"/>
                <w:szCs w:val="28"/>
              </w:rPr>
            </w:pPr>
          </w:p>
        </w:tc>
        <w:tc>
          <w:tcPr>
            <w:tcW w:w="957" w:type="dxa"/>
          </w:tcPr>
          <w:p w14:paraId="45CEE47B" w14:textId="77777777" w:rsidR="002919BD" w:rsidRDefault="002919BD">
            <w:pPr>
              <w:jc w:val="center"/>
              <w:rPr>
                <w:rFonts w:ascii="Times New Roman" w:eastAsia="Times New Roman" w:hAnsi="Times New Roman" w:cs="Times New Roman"/>
                <w:sz w:val="28"/>
                <w:szCs w:val="28"/>
              </w:rPr>
            </w:pPr>
          </w:p>
        </w:tc>
        <w:tc>
          <w:tcPr>
            <w:tcW w:w="957" w:type="dxa"/>
          </w:tcPr>
          <w:p w14:paraId="2D201F12" w14:textId="77777777" w:rsidR="002919BD" w:rsidRDefault="002919BD">
            <w:pPr>
              <w:jc w:val="center"/>
              <w:rPr>
                <w:rFonts w:ascii="Times New Roman" w:eastAsia="Times New Roman" w:hAnsi="Times New Roman" w:cs="Times New Roman"/>
                <w:sz w:val="28"/>
                <w:szCs w:val="28"/>
              </w:rPr>
            </w:pPr>
          </w:p>
        </w:tc>
        <w:tc>
          <w:tcPr>
            <w:tcW w:w="816" w:type="dxa"/>
          </w:tcPr>
          <w:p w14:paraId="4454CDF4" w14:textId="77777777" w:rsidR="002919BD" w:rsidRDefault="002919BD">
            <w:pPr>
              <w:jc w:val="center"/>
              <w:rPr>
                <w:rFonts w:ascii="Times New Roman" w:eastAsia="Times New Roman" w:hAnsi="Times New Roman" w:cs="Times New Roman"/>
                <w:sz w:val="28"/>
                <w:szCs w:val="28"/>
              </w:rPr>
            </w:pPr>
          </w:p>
        </w:tc>
        <w:tc>
          <w:tcPr>
            <w:tcW w:w="992" w:type="dxa"/>
          </w:tcPr>
          <w:p w14:paraId="046DF05F" w14:textId="77777777" w:rsidR="002919BD" w:rsidRDefault="002919BD">
            <w:pPr>
              <w:jc w:val="center"/>
              <w:rPr>
                <w:rFonts w:ascii="Times New Roman" w:eastAsia="Times New Roman" w:hAnsi="Times New Roman" w:cs="Times New Roman"/>
                <w:sz w:val="28"/>
                <w:szCs w:val="28"/>
              </w:rPr>
            </w:pPr>
          </w:p>
        </w:tc>
      </w:tr>
      <w:tr w:rsidR="002919BD" w14:paraId="41CDFD9F" w14:textId="77777777">
        <w:tc>
          <w:tcPr>
            <w:tcW w:w="957" w:type="dxa"/>
          </w:tcPr>
          <w:p w14:paraId="28221CA5" w14:textId="77777777" w:rsidR="002919BD"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rPr>
              <w:lastRenderedPageBreak/>
              <w:t>------</w:t>
            </w:r>
          </w:p>
        </w:tc>
        <w:tc>
          <w:tcPr>
            <w:tcW w:w="957" w:type="dxa"/>
          </w:tcPr>
          <w:p w14:paraId="3FB1A7E1"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1D823696"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2774D5C9"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483A49D3"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tc>
        <w:tc>
          <w:tcPr>
            <w:tcW w:w="957" w:type="dxa"/>
          </w:tcPr>
          <w:p w14:paraId="7F2EFA44" w14:textId="77777777" w:rsidR="002919B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957" w:type="dxa"/>
          </w:tcPr>
          <w:p w14:paraId="48440202" w14:textId="77777777" w:rsidR="002919BD" w:rsidRDefault="002919BD">
            <w:pPr>
              <w:jc w:val="center"/>
              <w:rPr>
                <w:rFonts w:ascii="Times New Roman" w:eastAsia="Times New Roman" w:hAnsi="Times New Roman" w:cs="Times New Roman"/>
                <w:sz w:val="28"/>
                <w:szCs w:val="28"/>
              </w:rPr>
            </w:pPr>
          </w:p>
        </w:tc>
        <w:tc>
          <w:tcPr>
            <w:tcW w:w="957" w:type="dxa"/>
          </w:tcPr>
          <w:p w14:paraId="740DD194" w14:textId="77777777" w:rsidR="002919BD" w:rsidRDefault="002919BD">
            <w:pPr>
              <w:jc w:val="center"/>
              <w:rPr>
                <w:rFonts w:ascii="Times New Roman" w:eastAsia="Times New Roman" w:hAnsi="Times New Roman" w:cs="Times New Roman"/>
                <w:sz w:val="28"/>
                <w:szCs w:val="28"/>
              </w:rPr>
            </w:pPr>
          </w:p>
        </w:tc>
        <w:tc>
          <w:tcPr>
            <w:tcW w:w="816" w:type="dxa"/>
          </w:tcPr>
          <w:p w14:paraId="512E0636" w14:textId="77777777" w:rsidR="002919BD" w:rsidRDefault="002919BD">
            <w:pPr>
              <w:jc w:val="center"/>
              <w:rPr>
                <w:rFonts w:ascii="Times New Roman" w:eastAsia="Times New Roman" w:hAnsi="Times New Roman" w:cs="Times New Roman"/>
                <w:sz w:val="28"/>
                <w:szCs w:val="28"/>
              </w:rPr>
            </w:pPr>
          </w:p>
        </w:tc>
        <w:tc>
          <w:tcPr>
            <w:tcW w:w="992" w:type="dxa"/>
          </w:tcPr>
          <w:p w14:paraId="6DB131BC" w14:textId="77777777" w:rsidR="002919BD" w:rsidRDefault="002919BD">
            <w:pPr>
              <w:jc w:val="center"/>
              <w:rPr>
                <w:rFonts w:ascii="Times New Roman" w:eastAsia="Times New Roman" w:hAnsi="Times New Roman" w:cs="Times New Roman"/>
                <w:sz w:val="28"/>
                <w:szCs w:val="28"/>
              </w:rPr>
            </w:pPr>
          </w:p>
        </w:tc>
      </w:tr>
    </w:tbl>
    <w:p w14:paraId="16878E36"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Designations:</w:t>
      </w:r>
    </w:p>
    <w:p w14:paraId="69677219"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lost for later observation</w:t>
      </w:r>
    </w:p>
    <w:p w14:paraId="40912A09"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 a positive blood test for diabetes</w:t>
      </w:r>
    </w:p>
    <w:p w14:paraId="1C0665E7"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continued observation without disease</w:t>
      </w:r>
    </w:p>
    <w:p w14:paraId="3C7FFF19"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total number of man-years of observation was 10064:</w:t>
      </w:r>
    </w:p>
    <w:p w14:paraId="156A340E" w14:textId="77777777" w:rsidR="002919BD"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Question. Calculate all possible incidence rates.</w:t>
      </w:r>
    </w:p>
    <w:p w14:paraId="265BCBFD" w14:textId="77777777" w:rsidR="002919BD" w:rsidRDefault="002919BD">
      <w:pPr>
        <w:rPr>
          <w:rFonts w:ascii="Times New Roman" w:eastAsia="Times New Roman" w:hAnsi="Times New Roman" w:cs="Times New Roman"/>
          <w:color w:val="000000"/>
          <w:sz w:val="24"/>
          <w:szCs w:val="24"/>
        </w:rPr>
      </w:pPr>
    </w:p>
    <w:p w14:paraId="2AAD66A7"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Decision</w:t>
      </w:r>
      <w:r>
        <w:rPr>
          <w:rFonts w:ascii="Times New Roman" w:eastAsia="Times New Roman" w:hAnsi="Times New Roman" w:cs="Times New Roman"/>
          <w:color w:val="000000"/>
          <w:sz w:val="28"/>
          <w:szCs w:val="28"/>
        </w:rPr>
        <w:t xml:space="preserve">. </w:t>
      </w:r>
    </w:p>
    <w:p w14:paraId="5947E1EB"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According to the conditions of the problem, you can calculate the incidence rate, for example, for 2012, the incidence density indicator, cumulative incidence and the average incidence rate for the year.</w:t>
      </w:r>
    </w:p>
    <w:p w14:paraId="35B2D8A0"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Incidence / incidence rate, e.g. 2012</w:t>
      </w:r>
    </w:p>
    <w:p w14:paraId="292D4D50" w14:textId="77777777" w:rsidR="002919BD" w:rsidRDefault="002919BD">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p>
    <w:p w14:paraId="49FBD213"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IR (Incidence Rate) == 2/1009 * 10000 = 19.8 cases of diabetes per 10000 population of the corresponding age</w:t>
      </w:r>
    </w:p>
    <w:p w14:paraId="5CB6FED7" w14:textId="77777777" w:rsidR="002919BD" w:rsidRDefault="002919BD">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p>
    <w:p w14:paraId="735B5312"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Morbidity density</w:t>
      </w:r>
    </w:p>
    <w:p w14:paraId="118ED8FF"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ID (Incidence Density) = type 1 diabetes cases per 10,000 person-years</w:t>
      </w:r>
    </w:p>
    <w:p w14:paraId="30276111"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The cumulative incidence rate for 10 years</w:t>
      </w:r>
    </w:p>
    <w:p w14:paraId="71C38604" w14:textId="77777777" w:rsidR="002919BD" w:rsidRDefault="002919BD">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p>
    <w:p w14:paraId="74F9342C" w14:textId="77777777" w:rsidR="002919BD" w:rsidRDefault="00000000">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CI (Cumulative Incidence) = 6/1010 * 10,000 = 59.4 cases of diabetes per 10,000 young adults</w:t>
      </w:r>
    </w:p>
    <w:p w14:paraId="17536B68" w14:textId="77777777" w:rsidR="002919BD" w:rsidRDefault="002919BD">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8"/>
          <w:szCs w:val="28"/>
        </w:rPr>
      </w:pPr>
    </w:p>
    <w:p w14:paraId="764C2C26" w14:textId="77777777" w:rsidR="002919BD" w:rsidRDefault="00000000">
      <w:pPr>
        <w:pBdr>
          <w:top w:val="nil"/>
          <w:left w:val="nil"/>
          <w:bottom w:val="nil"/>
          <w:right w:val="nil"/>
          <w:between w:val="nil"/>
        </w:pBdr>
        <w:shd w:val="clear" w:color="auto" w:fill="FFFFFF"/>
        <w:spacing w:after="28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The average incidence rate per year for the group over a 10-year period = 59.4 / 10 = 5.9% of the population per year.</w:t>
      </w:r>
    </w:p>
    <w:p w14:paraId="6346B6EC" w14:textId="77777777" w:rsidR="002919BD" w:rsidRDefault="00000000">
      <w:pPr>
        <w:spacing w:after="0" w:line="240" w:lineRule="auto"/>
        <w:rPr>
          <w:rFonts w:ascii="Arial" w:eastAsia="Arial" w:hAnsi="Arial" w:cs="Arial"/>
          <w:b/>
          <w:color w:val="000000"/>
          <w:sz w:val="24"/>
          <w:szCs w:val="24"/>
          <w:u w:val="single"/>
        </w:rPr>
      </w:pPr>
      <w:r>
        <w:rPr>
          <w:rFonts w:ascii="Arial" w:eastAsia="Arial" w:hAnsi="Arial" w:cs="Arial"/>
          <w:b/>
          <w:color w:val="000000"/>
          <w:sz w:val="24"/>
          <w:szCs w:val="24"/>
          <w:u w:val="single"/>
        </w:rPr>
        <w:t>Terms of tasks:</w:t>
      </w:r>
    </w:p>
    <w:p w14:paraId="2AE46529" w14:textId="77777777" w:rsidR="002919BD" w:rsidRDefault="00000000">
      <w:pPr>
        <w:spacing w:after="0" w:line="240" w:lineRule="auto"/>
      </w:pPr>
      <w:r>
        <w:rPr>
          <w:rFonts w:ascii="Arial" w:eastAsia="Arial" w:hAnsi="Arial" w:cs="Arial"/>
          <w:b/>
          <w:color w:val="000000"/>
          <w:sz w:val="24"/>
          <w:szCs w:val="24"/>
          <w:u w:val="single"/>
        </w:rPr>
        <w:t xml:space="preserve">You are performing one of the options </w:t>
      </w:r>
      <w:r>
        <w:t xml:space="preserve">  </w:t>
      </w:r>
      <w:r>
        <w:rPr>
          <w:rFonts w:ascii="Arial" w:eastAsia="Arial" w:hAnsi="Arial" w:cs="Arial"/>
          <w:b/>
          <w:color w:val="FF0000"/>
          <w:sz w:val="24"/>
          <w:szCs w:val="24"/>
          <w:u w:val="single"/>
        </w:rPr>
        <w:t>(Variant 1 for subgroup A,</w:t>
      </w:r>
      <w:r>
        <w:t xml:space="preserve"> </w:t>
      </w:r>
    </w:p>
    <w:p w14:paraId="17099F2D" w14:textId="77777777" w:rsidR="002919BD" w:rsidRDefault="00000000">
      <w:pPr>
        <w:spacing w:after="0" w:line="240" w:lineRule="auto"/>
        <w:rPr>
          <w:rFonts w:ascii="Arial" w:eastAsia="Arial" w:hAnsi="Arial" w:cs="Arial"/>
          <w:b/>
          <w:color w:val="000000"/>
          <w:sz w:val="24"/>
          <w:szCs w:val="24"/>
          <w:u w:val="single"/>
        </w:rPr>
      </w:pPr>
      <w:r>
        <w:t xml:space="preserve">                                                                                            </w:t>
      </w:r>
      <w:r>
        <w:rPr>
          <w:rFonts w:ascii="Arial" w:eastAsia="Arial" w:hAnsi="Arial" w:cs="Arial"/>
          <w:b/>
          <w:color w:val="FF0000"/>
          <w:sz w:val="24"/>
          <w:szCs w:val="24"/>
          <w:u w:val="single"/>
        </w:rPr>
        <w:t>Variant 2 for subgroup B):</w:t>
      </w:r>
    </w:p>
    <w:p w14:paraId="672C4D8C" w14:textId="77777777" w:rsidR="002919BD" w:rsidRDefault="002919BD">
      <w:pPr>
        <w:spacing w:after="0" w:line="240" w:lineRule="auto"/>
        <w:rPr>
          <w:rFonts w:ascii="Arial" w:eastAsia="Arial" w:hAnsi="Arial" w:cs="Arial"/>
          <w:color w:val="000000"/>
          <w:sz w:val="24"/>
          <w:szCs w:val="24"/>
        </w:rPr>
      </w:pPr>
    </w:p>
    <w:p w14:paraId="29A7E9A6" w14:textId="77777777" w:rsidR="002919BD" w:rsidRDefault="00000000">
      <w:pPr>
        <w:pBdr>
          <w:top w:val="nil"/>
          <w:left w:val="nil"/>
          <w:bottom w:val="nil"/>
          <w:right w:val="nil"/>
          <w:between w:val="nil"/>
        </w:pBdr>
        <w:shd w:val="clear" w:color="auto" w:fill="FFFFFF"/>
        <w:spacing w:after="280" w:line="240" w:lineRule="auto"/>
        <w:rPr>
          <w:rFonts w:ascii="Times New Roman" w:eastAsia="Times New Roman" w:hAnsi="Times New Roman" w:cs="Times New Roman"/>
          <w:color w:val="000000"/>
          <w:sz w:val="28"/>
          <w:szCs w:val="28"/>
        </w:rPr>
      </w:pPr>
      <w:r>
        <w:rPr>
          <w:rFonts w:ascii="Arial" w:eastAsia="Arial" w:hAnsi="Arial" w:cs="Arial"/>
          <w:b/>
          <w:color w:val="000000"/>
          <w:sz w:val="24"/>
          <w:szCs w:val="24"/>
        </w:rPr>
        <w:t>Variant 1 .                                              </w:t>
      </w:r>
    </w:p>
    <w:p w14:paraId="29BB4D76" w14:textId="77777777" w:rsidR="002919BD" w:rsidRDefault="00000000">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A descriptive study of mortality among sick women with diabetes involved 218 women with diabetes and 3,823 women without diabetes. By the end of the study, 72 women with diabetes and 511 women without diabetes had died. Women with diabetes were observed in a total of  1862 person-years; women without diabetes observed a total of 36,653 person-years.</w:t>
      </w:r>
    </w:p>
    <w:p w14:paraId="11977EA3" w14:textId="77777777" w:rsidR="002919BD" w:rsidRDefault="0000000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32"/>
          <w:szCs w:val="32"/>
        </w:rPr>
      </w:pPr>
      <w:bookmarkStart w:id="0" w:name="_gjdgxs" w:colFirst="0" w:colLast="0"/>
      <w:bookmarkEnd w:id="0"/>
      <w:r>
        <w:rPr>
          <w:rFonts w:ascii="Times New Roman" w:eastAsia="Times New Roman" w:hAnsi="Times New Roman" w:cs="Times New Roman"/>
          <w:color w:val="000000"/>
          <w:sz w:val="32"/>
          <w:szCs w:val="32"/>
        </w:rPr>
        <w:t>Question: Calculate mortality rates for women with and without diabetes.</w:t>
      </w:r>
    </w:p>
    <w:p w14:paraId="7BE1F3BA" w14:textId="77777777" w:rsidR="002919BD" w:rsidRDefault="002919BD">
      <w:pPr>
        <w:pBdr>
          <w:top w:val="nil"/>
          <w:left w:val="nil"/>
          <w:bottom w:val="nil"/>
          <w:right w:val="nil"/>
          <w:between w:val="nil"/>
        </w:pBdr>
        <w:shd w:val="clear" w:color="auto" w:fill="FFFFFF"/>
        <w:spacing w:after="0" w:line="240" w:lineRule="auto"/>
        <w:rPr>
          <w:rFonts w:ascii="Times New Roman" w:eastAsia="Times New Roman" w:hAnsi="Times New Roman" w:cs="Times New Roman"/>
          <w:i/>
          <w:color w:val="000000"/>
          <w:sz w:val="32"/>
          <w:szCs w:val="32"/>
        </w:rPr>
      </w:pPr>
    </w:p>
    <w:p w14:paraId="26500F79" w14:textId="77777777" w:rsidR="002919BD" w:rsidRDefault="00000000">
      <w:pPr>
        <w:pBdr>
          <w:top w:val="nil"/>
          <w:left w:val="nil"/>
          <w:bottom w:val="nil"/>
          <w:right w:val="nil"/>
          <w:between w:val="nil"/>
        </w:pBdr>
        <w:shd w:val="clear" w:color="auto" w:fill="FFFFFF"/>
        <w:spacing w:after="280" w:line="240" w:lineRule="auto"/>
        <w:rPr>
          <w:rFonts w:ascii="Times New Roman" w:eastAsia="Times New Roman" w:hAnsi="Times New Roman" w:cs="Times New Roman"/>
          <w:color w:val="000000"/>
          <w:sz w:val="28"/>
          <w:szCs w:val="28"/>
        </w:rPr>
      </w:pPr>
      <w:r>
        <w:rPr>
          <w:rFonts w:ascii="Arial" w:eastAsia="Arial" w:hAnsi="Arial" w:cs="Arial"/>
          <w:b/>
          <w:color w:val="000000"/>
          <w:sz w:val="24"/>
          <w:szCs w:val="24"/>
        </w:rPr>
        <w:t>Variant 1 .                                              </w:t>
      </w:r>
    </w:p>
    <w:p w14:paraId="686E53D2" w14:textId="77777777" w:rsidR="002919BD" w:rsidRDefault="00000000">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In 2013, the United States recorded 44,232 new cases of Acquired Immunodeficiency Syndrome (AIDS). The average annual US population in 2013 was approximately 290,809,777. Altogether, 200,000 people are  registered with acquired immunodeficiency syndrome (AIDS).</w:t>
      </w:r>
    </w:p>
    <w:p w14:paraId="6B928856" w14:textId="77777777" w:rsidR="002919BD" w:rsidRDefault="0000000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2"/>
          <w:szCs w:val="32"/>
        </w:rPr>
        <w:t>Question: Calculate your possible AIDS incidence rates.</w:t>
      </w:r>
    </w:p>
    <w:sectPr w:rsidR="002919BD">
      <w:headerReference w:type="default" r:id="rId11"/>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700EE" w14:textId="77777777" w:rsidR="00592B4D" w:rsidRDefault="00592B4D" w:rsidP="00410766">
      <w:pPr>
        <w:spacing w:after="0" w:line="240" w:lineRule="auto"/>
      </w:pPr>
      <w:r>
        <w:separator/>
      </w:r>
    </w:p>
  </w:endnote>
  <w:endnote w:type="continuationSeparator" w:id="0">
    <w:p w14:paraId="2E621AB6" w14:textId="77777777" w:rsidR="00592B4D" w:rsidRDefault="00592B4D" w:rsidP="00410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D2D2" w14:textId="77777777" w:rsidR="00592B4D" w:rsidRDefault="00592B4D" w:rsidP="00410766">
      <w:pPr>
        <w:spacing w:after="0" w:line="240" w:lineRule="auto"/>
      </w:pPr>
      <w:r>
        <w:separator/>
      </w:r>
    </w:p>
  </w:footnote>
  <w:footnote w:type="continuationSeparator" w:id="0">
    <w:p w14:paraId="3C596668" w14:textId="77777777" w:rsidR="00592B4D" w:rsidRDefault="00592B4D" w:rsidP="00410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3E17" w14:textId="6B17D6FF" w:rsidR="00410766" w:rsidRDefault="00410766">
    <w:pPr>
      <w:pStyle w:val="Header"/>
    </w:pPr>
    <w:r>
      <w:rPr>
        <w:noProof/>
      </w:rPr>
      <w:drawing>
        <wp:inline distT="0" distB="0" distL="0" distR="0" wp14:anchorId="1D323A32" wp14:editId="0EBB4CE0">
          <wp:extent cx="2032000" cy="77739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37017" cy="779314"/>
                  </a:xfrm>
                  <a:prstGeom prst="rect">
                    <a:avLst/>
                  </a:prstGeom>
                </pic:spPr>
              </pic:pic>
            </a:graphicData>
          </a:graphic>
        </wp:inline>
      </w:drawing>
    </w:r>
  </w:p>
  <w:p w14:paraId="08067928" w14:textId="77777777" w:rsidR="00410766" w:rsidRDefault="00410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CB0224"/>
    <w:multiLevelType w:val="multilevel"/>
    <w:tmpl w:val="7856E2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51730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BD"/>
    <w:rsid w:val="002919BD"/>
    <w:rsid w:val="00410766"/>
    <w:rsid w:val="00592B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7FCA9"/>
  <w15:docId w15:val="{1886FA04-D7C3-486E-AD50-6910F50FB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I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107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766"/>
  </w:style>
  <w:style w:type="paragraph" w:styleId="Footer">
    <w:name w:val="footer"/>
    <w:basedOn w:val="Normal"/>
    <w:link w:val="FooterChar"/>
    <w:uiPriority w:val="99"/>
    <w:unhideWhenUsed/>
    <w:rsid w:val="004107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web.bumc.bu.edu/otlt/MPH-Modules/EP/EP713_DiseaseFrequency/EP713_DiseaseFrequency_prin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dc.gov/csels/dsepd/ss1978/lesson3/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dc.gov/csels/dsepd/" TargetMode="External"/><Relationship Id="rId4" Type="http://schemas.openxmlformats.org/officeDocument/2006/relationships/webSettings" Target="webSettings.xml"/><Relationship Id="rId9" Type="http://schemas.openxmlformats.org/officeDocument/2006/relationships/hyperlink" Target="https://www.cdc.gov/csels/dsep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1115</Words>
  <Characters>6358</Characters>
  <Application>Microsoft Office Word</Application>
  <DocSecurity>0</DocSecurity>
  <Lines>52</Lines>
  <Paragraphs>14</Paragraphs>
  <ScaleCrop>false</ScaleCrop>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rashmi venkat raman</cp:lastModifiedBy>
  <cp:revision>3</cp:revision>
  <dcterms:created xsi:type="dcterms:W3CDTF">2023-02-22T03:56:00Z</dcterms:created>
  <dcterms:modified xsi:type="dcterms:W3CDTF">2023-02-22T03:56:00Z</dcterms:modified>
</cp:coreProperties>
</file>